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4"/>
        <w:gridCol w:w="2198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43230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</w:t>
            </w:r>
            <w:r w:rsidRPr="00243230">
              <w:rPr>
                <w:b/>
                <w:sz w:val="22"/>
                <w:szCs w:val="22"/>
                <w:highlight w:val="yellow"/>
              </w:rPr>
              <w:t xml:space="preserve">Tantárgy </w:t>
            </w:r>
            <w:r w:rsidRPr="00243230">
              <w:rPr>
                <w:sz w:val="22"/>
                <w:szCs w:val="22"/>
                <w:highlight w:val="yellow"/>
              </w:rPr>
              <w:t>neve:</w:t>
            </w:r>
            <w:r w:rsidRPr="00243230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6D2016">
              <w:rPr>
                <w:b/>
                <w:sz w:val="22"/>
                <w:szCs w:val="22"/>
              </w:rPr>
              <w:t>Elsősegélynyújtás II. gyakorlat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243230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Kreditértéke: </w:t>
            </w:r>
            <w:r w:rsidR="006D2016">
              <w:rPr>
                <w:b/>
                <w:sz w:val="22"/>
                <w:szCs w:val="22"/>
              </w:rPr>
              <w:t>1 kredit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="00796D12">
              <w:rPr>
                <w:sz w:val="22"/>
                <w:szCs w:val="22"/>
              </w:rPr>
              <w:t>: 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243230">
              <w:rPr>
                <w:sz w:val="22"/>
                <w:szCs w:val="22"/>
                <w:highlight w:val="yellow"/>
              </w:rPr>
              <w:t xml:space="preserve">A </w:t>
            </w:r>
            <w:r w:rsidRPr="00243230">
              <w:rPr>
                <w:b/>
                <w:sz w:val="22"/>
                <w:szCs w:val="22"/>
                <w:highlight w:val="yellow"/>
              </w:rPr>
              <w:t>tanóra</w:t>
            </w:r>
            <w:r w:rsidRPr="00243230">
              <w:rPr>
                <w:rStyle w:val="Lbjegyzet-hivatkozs"/>
                <w:b/>
                <w:sz w:val="22"/>
                <w:szCs w:val="22"/>
                <w:highlight w:val="yellow"/>
              </w:rPr>
              <w:footnoteReference w:id="1"/>
            </w:r>
            <w:r w:rsidRPr="00243230">
              <w:rPr>
                <w:b/>
                <w:sz w:val="22"/>
                <w:szCs w:val="22"/>
                <w:highlight w:val="yellow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r w:rsidRPr="00796D12">
              <w:rPr>
                <w:sz w:val="22"/>
                <w:szCs w:val="22"/>
              </w:rPr>
              <w:t>ea.</w:t>
            </w:r>
            <w:r w:rsidRPr="006E32F4">
              <w:rPr>
                <w:sz w:val="22"/>
                <w:szCs w:val="22"/>
              </w:rPr>
              <w:t xml:space="preserve"> / szem. / </w:t>
            </w:r>
            <w:r w:rsidRPr="006D2016">
              <w:rPr>
                <w:b/>
                <w:sz w:val="22"/>
                <w:szCs w:val="22"/>
                <w:u w:val="single"/>
              </w:rPr>
              <w:t>gyak.</w:t>
            </w:r>
            <w:r w:rsidRPr="006E32F4">
              <w:rPr>
                <w:sz w:val="22"/>
                <w:szCs w:val="22"/>
              </w:rPr>
              <w:t xml:space="preserve"> / konz.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30">
              <w:rPr>
                <w:sz w:val="22"/>
                <w:szCs w:val="22"/>
                <w:highlight w:val="yellow"/>
              </w:rPr>
              <w:t xml:space="preserve">és </w:t>
            </w:r>
            <w:r w:rsidRPr="00243230">
              <w:rPr>
                <w:b/>
                <w:sz w:val="22"/>
                <w:szCs w:val="22"/>
                <w:highlight w:val="yellow"/>
              </w:rPr>
              <w:t>óraszáma</w:t>
            </w:r>
            <w:r w:rsidR="006D2016">
              <w:rPr>
                <w:sz w:val="22"/>
                <w:szCs w:val="22"/>
              </w:rPr>
              <w:t>: 14 óra</w:t>
            </w:r>
            <w:r w:rsidR="00243230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r w:rsidRPr="00403737">
              <w:rPr>
                <w:i/>
                <w:sz w:val="22"/>
                <w:szCs w:val="22"/>
              </w:rPr>
              <w:t xml:space="preserve">: </w:t>
            </w:r>
            <w:r w:rsidR="00243230" w:rsidRPr="00243230">
              <w:rPr>
                <w:i/>
                <w:sz w:val="22"/>
                <w:szCs w:val="22"/>
                <w:highlight w:val="yellow"/>
              </w:rPr>
              <w:t>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24323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sz w:val="22"/>
                <w:szCs w:val="22"/>
              </w:rPr>
              <w:t xml:space="preserve">: </w:t>
            </w:r>
            <w:r w:rsidR="00243230" w:rsidRPr="00243230">
              <w:rPr>
                <w:i/>
                <w:sz w:val="22"/>
                <w:szCs w:val="22"/>
                <w:highlight w:val="yellow"/>
              </w:rPr>
              <w:t>………</w:t>
            </w:r>
            <w:r w:rsidR="00243230">
              <w:rPr>
                <w:i/>
                <w:sz w:val="22"/>
                <w:szCs w:val="22"/>
                <w:highlight w:val="yellow"/>
              </w:rPr>
              <w:t>……</w:t>
            </w:r>
            <w:r w:rsidR="00243230" w:rsidRPr="00243230">
              <w:rPr>
                <w:i/>
                <w:sz w:val="22"/>
                <w:szCs w:val="22"/>
                <w:highlight w:val="yellow"/>
              </w:rPr>
              <w:t>…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80108E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243230">
              <w:rPr>
                <w:b/>
                <w:sz w:val="22"/>
                <w:szCs w:val="22"/>
                <w:highlight w:val="yellow"/>
              </w:rPr>
              <w:t xml:space="preserve">számonkérés </w:t>
            </w:r>
            <w:r w:rsidRPr="00243230">
              <w:rPr>
                <w:sz w:val="22"/>
                <w:szCs w:val="22"/>
                <w:highlight w:val="yellow"/>
              </w:rPr>
              <w:t>módja</w:t>
            </w:r>
            <w:r w:rsidRPr="00403737">
              <w:rPr>
                <w:sz w:val="22"/>
                <w:szCs w:val="22"/>
              </w:rPr>
              <w:t xml:space="preserve"> (koll. / </w:t>
            </w:r>
            <w:r w:rsidRPr="00243230">
              <w:rPr>
                <w:sz w:val="22"/>
                <w:szCs w:val="22"/>
              </w:rPr>
              <w:t xml:space="preserve">gyj. </w:t>
            </w:r>
            <w:r w:rsidRPr="00403737">
              <w:rPr>
                <w:sz w:val="22"/>
                <w:szCs w:val="22"/>
              </w:rPr>
              <w:t xml:space="preserve">/ </w:t>
            </w:r>
            <w:r w:rsidRPr="00403737">
              <w:rPr>
                <w:b/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403737">
              <w:rPr>
                <w:b/>
                <w:sz w:val="22"/>
                <w:szCs w:val="22"/>
              </w:rPr>
              <w:t>)</w:t>
            </w:r>
            <w:r w:rsidRPr="00403737">
              <w:rPr>
                <w:sz w:val="22"/>
                <w:szCs w:val="22"/>
              </w:rPr>
              <w:t xml:space="preserve">: </w:t>
            </w:r>
            <w:r w:rsidR="00AA18F6">
              <w:rPr>
                <w:sz w:val="22"/>
                <w:szCs w:val="22"/>
              </w:rPr>
              <w:t>gyakorlati jegy</w:t>
            </w:r>
          </w:p>
          <w:p w:rsidR="00E77819" w:rsidRPr="00403737" w:rsidRDefault="00E77819" w:rsidP="006E32F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>:</w:t>
            </w:r>
            <w:r w:rsidR="00796D12" w:rsidRPr="00403737">
              <w:rPr>
                <w:sz w:val="22"/>
                <w:szCs w:val="22"/>
                <w:highlight w:val="yellow"/>
              </w:rPr>
              <w:t xml:space="preserve"> </w:t>
            </w:r>
            <w:r w:rsidR="00796D12" w:rsidRPr="00243230">
              <w:rPr>
                <w:sz w:val="22"/>
                <w:szCs w:val="22"/>
                <w:highlight w:val="yellow"/>
              </w:rPr>
              <w:t>………………………..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243230">
              <w:rPr>
                <w:b/>
                <w:sz w:val="22"/>
                <w:szCs w:val="22"/>
                <w:highlight w:val="yellow"/>
              </w:rPr>
              <w:t>tantervi helye</w:t>
            </w:r>
            <w:r w:rsidR="00243230" w:rsidRPr="00243230">
              <w:rPr>
                <w:sz w:val="22"/>
                <w:szCs w:val="22"/>
                <w:highlight w:val="yellow"/>
              </w:rPr>
              <w:t xml:space="preserve"> </w:t>
            </w:r>
            <w:r w:rsidR="006D2016">
              <w:rPr>
                <w:sz w:val="22"/>
                <w:szCs w:val="22"/>
              </w:rPr>
              <w:t>(hányadik félév) III. félév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237A3">
            <w:pPr>
              <w:suppressAutoHyphens/>
              <w:jc w:val="both"/>
              <w:rPr>
                <w:sz w:val="22"/>
                <w:szCs w:val="22"/>
              </w:rPr>
            </w:pPr>
            <w:r w:rsidRPr="00243230">
              <w:rPr>
                <w:sz w:val="22"/>
                <w:szCs w:val="22"/>
                <w:highlight w:val="yellow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="00AA18F6">
              <w:rPr>
                <w:sz w:val="22"/>
                <w:szCs w:val="22"/>
              </w:rPr>
              <w:t xml:space="preserve">: </w:t>
            </w:r>
            <w:r w:rsidR="00AA18F6" w:rsidRPr="00AA18F6">
              <w:rPr>
                <w:sz w:val="22"/>
                <w:szCs w:val="22"/>
              </w:rPr>
              <w:t>Elsősegélynyújtás I. elmélet, Elsősegélynyújtás I. gyakorlat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7415"/>
      </w:tblGrid>
      <w:tr w:rsidR="00E77819" w:rsidRPr="00403737" w:rsidTr="0024323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D237A3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>Tantárgy-leírás</w:t>
            </w:r>
            <w:r w:rsidRPr="00D237A3">
              <w:rPr>
                <w:sz w:val="22"/>
                <w:szCs w:val="22"/>
              </w:rPr>
              <w:t xml:space="preserve">: az elsajátítandó </w:t>
            </w:r>
            <w:r w:rsidRPr="00D237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243230">
        <w:trPr>
          <w:trHeight w:val="702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62559D" w:rsidRDefault="004F213B" w:rsidP="0062559D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62559D">
              <w:rPr>
                <w:sz w:val="24"/>
                <w:szCs w:val="24"/>
              </w:rPr>
              <w:t>A kurzus célja a korszerű elsősegélynyújtási ismeretek átadása, a beavatkozási készség kifejlesztése. Felkészíteni a hallgatókat a korszerű elsősegélynyújtó technikák alkalmazására, a betegek érdekében szükséges intézkedések megtételére. A kórtani alapokon nyugvó, az összefüggéseket is figyelembe vevő elsősegélynyújtás teljes körének megismertetése. Az önálló tevékenységek v</w:t>
            </w:r>
            <w:r w:rsidR="00FE3A1A">
              <w:rPr>
                <w:sz w:val="24"/>
                <w:szCs w:val="24"/>
              </w:rPr>
              <w:t xml:space="preserve">égrehajtására és szervezésére alapozott szituációk során a hallgatók </w:t>
            </w:r>
            <w:r w:rsidR="00C40340">
              <w:rPr>
                <w:sz w:val="24"/>
                <w:szCs w:val="24"/>
              </w:rPr>
              <w:t xml:space="preserve">képessé válnak a sürgősségi ellátásban a </w:t>
            </w:r>
            <w:r w:rsidR="000813D0">
              <w:rPr>
                <w:sz w:val="24"/>
                <w:szCs w:val="24"/>
              </w:rPr>
              <w:t>megfelelő</w:t>
            </w:r>
            <w:bookmarkStart w:id="0" w:name="_GoBack"/>
            <w:bookmarkEnd w:id="0"/>
            <w:r w:rsidR="00C40340">
              <w:rPr>
                <w:sz w:val="24"/>
                <w:szCs w:val="24"/>
              </w:rPr>
              <w:t xml:space="preserve"> döntéshozatalra.</w:t>
            </w:r>
          </w:p>
          <w:p w:rsidR="00243230" w:rsidRDefault="00243230" w:rsidP="006706FC">
            <w:pPr>
              <w:suppressAutoHyphens/>
              <w:jc w:val="both"/>
              <w:rPr>
                <w:sz w:val="22"/>
                <w:szCs w:val="22"/>
              </w:rPr>
            </w:pPr>
          </w:p>
          <w:p w:rsidR="00243230" w:rsidRDefault="00243230" w:rsidP="006706FC">
            <w:pPr>
              <w:suppressAutoHyphens/>
              <w:jc w:val="both"/>
              <w:rPr>
                <w:sz w:val="22"/>
                <w:szCs w:val="22"/>
              </w:rPr>
            </w:pPr>
          </w:p>
          <w:p w:rsidR="00243230" w:rsidRPr="00403737" w:rsidRDefault="00243230" w:rsidP="006706FC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7A2609" w:rsidRPr="00403737" w:rsidTr="00243230">
        <w:trPr>
          <w:trHeight w:val="388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D237A3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30">
              <w:rPr>
                <w:sz w:val="22"/>
                <w:szCs w:val="22"/>
                <w:highlight w:val="yellow"/>
              </w:rPr>
              <w:t xml:space="preserve">A tantárgy </w:t>
            </w:r>
            <w:r w:rsidRPr="00243230">
              <w:rPr>
                <w:b/>
                <w:sz w:val="22"/>
                <w:szCs w:val="22"/>
                <w:highlight w:val="yellow"/>
              </w:rPr>
              <w:t>heti bontású</w:t>
            </w:r>
            <w:r w:rsidRPr="00243230">
              <w:rPr>
                <w:sz w:val="22"/>
                <w:szCs w:val="22"/>
                <w:highlight w:val="yellow"/>
              </w:rPr>
              <w:t xml:space="preserve"> részletes </w:t>
            </w:r>
            <w:r w:rsidRPr="00243230">
              <w:rPr>
                <w:b/>
                <w:sz w:val="22"/>
                <w:szCs w:val="22"/>
                <w:highlight w:val="yellow"/>
              </w:rPr>
              <w:t>tematikája</w:t>
            </w:r>
            <w:r w:rsidRPr="00243230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43230" w:rsidRPr="00403737" w:rsidTr="00243230">
        <w:trPr>
          <w:trHeight w:val="49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243230" w:rsidRDefault="00243230" w:rsidP="0024323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43230">
              <w:rPr>
                <w:sz w:val="24"/>
                <w:szCs w:val="24"/>
              </w:rPr>
              <w:t>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6706FC" w:rsidRDefault="0062559D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felnőtt BLS gyakorlata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0A4D59" w:rsidP="000A4D59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kiterjesztett újraélesztés eszközei. Az AED használata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62559D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csecsemő újraélesztés alapjai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62559D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gyermek újraélesztés alapjai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62559D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Leopold-féle műfogások, előkészületek a helyszíni szülésvezetéshez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62559D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helyszíni szülésvezetés gyakorlata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62559D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sürgősségi betegvizsgálat lépései, ABCDE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62559D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légútbiztosítás eszköz nélküli és eszközös módjai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267376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eszméletlen beteg vizsgálata és ellátása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267376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Tömeges kárhely, triage gyakorlat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12.hét 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267376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Traumás beteg vizsgálata és ellátása</w:t>
            </w:r>
          </w:p>
        </w:tc>
      </w:tr>
      <w:tr w:rsidR="00243230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CA4B2B" w:rsidRDefault="00267376" w:rsidP="002673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vérzéscsillapítás lehetőségei és eszközei</w:t>
            </w:r>
          </w:p>
        </w:tc>
      </w:tr>
      <w:tr w:rsidR="00E77819" w:rsidRPr="00403737" w:rsidTr="00243230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C774F7" w:rsidRDefault="00E77819" w:rsidP="00AC6CB2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C774F7">
              <w:rPr>
                <w:sz w:val="22"/>
                <w:szCs w:val="22"/>
              </w:rPr>
              <w:t xml:space="preserve">A </w:t>
            </w:r>
            <w:r w:rsidRPr="00243230">
              <w:rPr>
                <w:b/>
                <w:sz w:val="22"/>
                <w:szCs w:val="22"/>
                <w:highlight w:val="yellow"/>
              </w:rPr>
              <w:t>2-5</w:t>
            </w:r>
            <w:r w:rsidRPr="00243230">
              <w:rPr>
                <w:sz w:val="22"/>
                <w:szCs w:val="22"/>
                <w:highlight w:val="yellow"/>
              </w:rPr>
              <w:t xml:space="preserve"> legfontosabb </w:t>
            </w:r>
            <w:r w:rsidRPr="00243230">
              <w:rPr>
                <w:i/>
                <w:sz w:val="22"/>
                <w:szCs w:val="22"/>
                <w:highlight w:val="yellow"/>
              </w:rPr>
              <w:t>kötelező,</w:t>
            </w:r>
            <w:r w:rsidRPr="00243230">
              <w:rPr>
                <w:sz w:val="22"/>
                <w:szCs w:val="22"/>
                <w:highlight w:val="yellow"/>
              </w:rPr>
              <w:t xml:space="preserve"> illetve </w:t>
            </w:r>
            <w:r w:rsidRPr="00243230">
              <w:rPr>
                <w:i/>
                <w:sz w:val="22"/>
                <w:szCs w:val="22"/>
                <w:highlight w:val="yellow"/>
              </w:rPr>
              <w:t>ajánlott</w:t>
            </w:r>
            <w:r w:rsidRPr="00243230">
              <w:rPr>
                <w:b/>
                <w:i/>
                <w:sz w:val="22"/>
                <w:szCs w:val="22"/>
                <w:highlight w:val="yellow"/>
              </w:rPr>
              <w:t xml:space="preserve"> </w:t>
            </w:r>
            <w:r w:rsidRPr="00243230">
              <w:rPr>
                <w:b/>
                <w:sz w:val="22"/>
                <w:szCs w:val="22"/>
                <w:highlight w:val="yellow"/>
              </w:rPr>
              <w:t>irodalom</w:t>
            </w:r>
            <w:r w:rsidRPr="00C774F7">
              <w:rPr>
                <w:b/>
                <w:sz w:val="22"/>
                <w:szCs w:val="22"/>
              </w:rPr>
              <w:t xml:space="preserve"> </w:t>
            </w:r>
            <w:r w:rsidRPr="00C774F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243230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F213B" w:rsidRDefault="004F213B" w:rsidP="004F213B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Betlehem József: Első teendők sürgős esetekben – elsősegélynyújtás, Medicina Könyvkiadó Zrt., Budapest, 2014.</w:t>
            </w:r>
          </w:p>
          <w:p w:rsidR="004F213B" w:rsidRDefault="004F213B" w:rsidP="004F213B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Zideman DA, De Buck EMDJ, Singletry EM, et al. European Resuscitation Council Guidelines for Resuscitation 2015. Section 9. First aid. Resuscitation 2015;95:278-87.</w:t>
            </w:r>
          </w:p>
          <w:p w:rsidR="00E77819" w:rsidRDefault="004F213B" w:rsidP="004F213B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International First Aid and Resuscitation Gudelines 2016, International Federation of Red Cross and Red Crescent Societies, Geneva, 2016</w:t>
            </w:r>
            <w:r>
              <w:rPr>
                <w:sz w:val="24"/>
                <w:szCs w:val="24"/>
              </w:rPr>
              <w:t>.</w:t>
            </w:r>
          </w:p>
          <w:p w:rsidR="00243230" w:rsidRPr="00C774F7" w:rsidRDefault="00243230" w:rsidP="00C774F7">
            <w:pPr>
              <w:spacing w:after="160" w:line="276" w:lineRule="auto"/>
              <w:jc w:val="both"/>
              <w:rPr>
                <w:sz w:val="22"/>
                <w:szCs w:val="22"/>
                <w:lang w:val="en-GB" w:eastAsia="en-GB" w:bidi="en-GB"/>
              </w:rPr>
            </w:pPr>
          </w:p>
        </w:tc>
      </w:tr>
      <w:tr w:rsidR="00E77819" w:rsidRPr="00403737" w:rsidTr="00243230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FA342E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FA342E">
              <w:rPr>
                <w:sz w:val="22"/>
                <w:szCs w:val="22"/>
              </w:rPr>
              <w:t xml:space="preserve">Azoknak az </w:t>
            </w:r>
            <w:r w:rsidRPr="00243230">
              <w:rPr>
                <w:b/>
                <w:sz w:val="22"/>
                <w:szCs w:val="22"/>
                <w:highlight w:val="yellow"/>
              </w:rPr>
              <w:t>előírt</w:t>
            </w:r>
            <w:r w:rsidRPr="00243230">
              <w:rPr>
                <w:sz w:val="22"/>
                <w:szCs w:val="22"/>
                <w:highlight w:val="yellow"/>
              </w:rPr>
              <w:t xml:space="preserve"> s</w:t>
            </w:r>
            <w:r w:rsidRPr="00243230">
              <w:rPr>
                <w:b/>
                <w:sz w:val="22"/>
                <w:szCs w:val="22"/>
                <w:highlight w:val="yellow"/>
              </w:rPr>
              <w:t>zakmai kompetenciáknak</w:t>
            </w:r>
            <w:r w:rsidRPr="00FA342E">
              <w:rPr>
                <w:b/>
                <w:sz w:val="22"/>
                <w:szCs w:val="22"/>
              </w:rPr>
              <w:t>, kompetencia-elemeknek</w:t>
            </w:r>
            <w:r w:rsidRPr="00FA342E">
              <w:rPr>
                <w:sz w:val="21"/>
                <w:szCs w:val="21"/>
              </w:rPr>
              <w:t xml:space="preserve"> </w:t>
            </w:r>
            <w:r w:rsidRPr="00FA342E">
              <w:rPr>
                <w:i/>
              </w:rPr>
              <w:t>(tudás, képesség</w:t>
            </w:r>
            <w:r w:rsidRPr="00FA342E">
              <w:t xml:space="preserve"> stb., </w:t>
            </w:r>
            <w:r w:rsidRPr="00FA342E">
              <w:rPr>
                <w:i/>
              </w:rPr>
              <w:t xml:space="preserve">KKK </w:t>
            </w:r>
            <w:r w:rsidRPr="00FA342E">
              <w:rPr>
                <w:b/>
                <w:i/>
              </w:rPr>
              <w:t>7.</w:t>
            </w:r>
            <w:r w:rsidRPr="00FA342E">
              <w:rPr>
                <w:i/>
              </w:rPr>
              <w:t xml:space="preserve"> pont</w:t>
            </w:r>
            <w:r w:rsidRPr="00FA342E">
              <w:t xml:space="preserve">) </w:t>
            </w:r>
            <w:r w:rsidRPr="00FA342E">
              <w:rPr>
                <w:sz w:val="22"/>
                <w:szCs w:val="22"/>
              </w:rPr>
              <w:t xml:space="preserve">a felsorolása, </w:t>
            </w:r>
            <w:r w:rsidRPr="00FA342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403737" w:rsidTr="00243230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F213B" w:rsidRDefault="004F213B" w:rsidP="004F213B">
            <w:pPr>
              <w:suppressAutoHyphens/>
              <w:spacing w:line="276" w:lineRule="auto"/>
              <w:ind w:left="34"/>
              <w:jc w:val="both"/>
              <w:rPr>
                <w:i/>
                <w:lang w:eastAsia="en-US"/>
              </w:rPr>
            </w:pPr>
            <w:r>
              <w:rPr>
                <w:i/>
                <w:highlight w:val="lightGray"/>
                <w:lang w:eastAsia="en-US"/>
              </w:rPr>
              <w:t>pl.:</w:t>
            </w:r>
            <w:r>
              <w:rPr>
                <w:i/>
                <w:lang w:eastAsia="en-US"/>
              </w:rPr>
              <w:t xml:space="preserve"> </w:t>
            </w:r>
          </w:p>
          <w:p w:rsidR="004F213B" w:rsidRPr="00497397" w:rsidRDefault="004F213B" w:rsidP="00497397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176" w:hanging="142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tudása</w:t>
            </w:r>
          </w:p>
          <w:p w:rsidR="004F213B" w:rsidRDefault="004F213B" w:rsidP="00497397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Ismeri az elsősegélynyújtással kapcsolatos fogalmakat, valamint az elsősegélynyújtás jogi és etikai hátterét.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Ismeri a baleseti helyszínnel kapcsolatos jellemzőket, valamint a szükséges betartandó biztonsági szempontokat.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Ismeri a mentőhívás során tisztázandó kérdéseket.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Ismeri a betegek/sérültek alapvető vizsgálati módszereit.</w:t>
            </w:r>
          </w:p>
          <w:p w:rsidR="004F213B" w:rsidRDefault="00497397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F213B">
              <w:rPr>
                <w:lang w:eastAsia="en-US"/>
              </w:rPr>
              <w:t>Ismeri a halállal és újraélesztéssel kapcsolatos fogalmakat, valamint ismeri az újraélesztés kivitelezésének módját.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Ismeri a vérzések típusait, valamint ezek ellátási módját.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Ismeri a különböző sérülések típusait, a sebellátás, kötözések és rögzítések módjait.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Ismeri az egyes testtájak jellemző sérüléseinek típusait, valamint ezek ellátási módját.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Ismeri a legfontosabb és leggyakoribb belgyógyászati eredetű megbetegedések jellemzőit, valamint ezek ellátásának menetét.</w:t>
            </w:r>
          </w:p>
          <w:p w:rsidR="004F213B" w:rsidRDefault="004F213B" w:rsidP="004F213B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176" w:hanging="142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képességei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Képes az elsősegélynyújtást igénylő helyzetek felismerésére.</w:t>
            </w:r>
          </w:p>
          <w:p w:rsidR="00497397" w:rsidRDefault="00497397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97397">
              <w:rPr>
                <w:lang w:eastAsia="en-US"/>
              </w:rPr>
              <w:t>Képes gyakorlati munkája során alkalmazni ismereteit a jellegzetes patológiai eltérések, elváltozások kapcsán.</w:t>
            </w:r>
          </w:p>
          <w:p w:rsidR="00077D80" w:rsidRDefault="00077D80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77D80">
              <w:rPr>
                <w:lang w:eastAsia="en-US"/>
              </w:rPr>
              <w:t>Képes alkalmazni azokat az eszköz nélküli és esetenként eszközös beavatkozásokat, melyek a hirtelen bekövetkezett egészségkárosodás esetén a beteg, sérült életét megmenthetik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Képes a veszélyes helyszínen a biztonsági intézkedések elkezdésére, végrehajtására.</w:t>
            </w:r>
          </w:p>
          <w:p w:rsidR="00077D80" w:rsidRDefault="00077D80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77D80">
              <w:rPr>
                <w:lang w:eastAsia="en-US"/>
              </w:rPr>
              <w:t>Képes tömeges balesetek és megbetegedések, illetve katasztrófa helyszínén a kompetenciájába tartozó mentő és szervezési feladatok ellátására.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Képes a mentőhívás helyes kivitelezésére.</w:t>
            </w:r>
          </w:p>
          <w:p w:rsidR="00077D80" w:rsidRDefault="00077D80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77D80">
              <w:rPr>
                <w:lang w:eastAsia="en-US"/>
              </w:rPr>
              <w:t>Képes komplikációmentes szülés levezetésére, a komplikációk felismerésére, azok következményeinek minimalizálására.</w:t>
            </w:r>
          </w:p>
          <w:p w:rsidR="00077D80" w:rsidRDefault="00077D80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77D80">
              <w:rPr>
                <w:lang w:eastAsia="en-US"/>
              </w:rPr>
              <w:t>Az újszülöttet szakszerűen ellátja, a szülés és születés körüli vészhelyzeteket elhárítja.</w:t>
            </w:r>
          </w:p>
          <w:p w:rsidR="00077D80" w:rsidRDefault="00077D80" w:rsidP="004F213B">
            <w:pPr>
              <w:pStyle w:val="NormlWeb"/>
              <w:spacing w:line="276" w:lineRule="auto"/>
              <w:ind w:left="380" w:hanging="380"/>
              <w:jc w:val="both"/>
            </w:pPr>
            <w:r>
              <w:t xml:space="preserve">- </w:t>
            </w:r>
            <w:r w:rsidRPr="00454A14">
              <w:t>A légút átjárhatóságát műfogásokkal és segédeszközzel biztosítja és fenntartja, a légzést asszisztált módon támogatja,</w:t>
            </w:r>
            <w:r>
              <w:t xml:space="preserve"> vagy kontrollált módon pótolja.</w:t>
            </w:r>
          </w:p>
          <w:p w:rsidR="00077D80" w:rsidRDefault="00077D80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077D80">
              <w:rPr>
                <w:lang w:eastAsia="en-US"/>
              </w:rPr>
              <w:t>Felméri, és felismeri a környezeti veszélyforrásokat, azoktól a beteget, önmagát és a betegellátó-team tagjait védi, az őt érő hatásokat minimalizálja.</w:t>
            </w:r>
          </w:p>
          <w:p w:rsidR="00077D80" w:rsidRDefault="00FE3A1A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077D80" w:rsidRPr="00077D80">
              <w:rPr>
                <w:lang w:eastAsia="en-US"/>
              </w:rPr>
              <w:t>Megfigyeli vagy megfigyelteti a beteg eszméleti és tudati állapotát, a légutat (annak átjárhatóságát esetleg veszélyeztetettségét), légzésszámát, légzésmélységét és légzésmintázatát, a beteg bőrét és nyálkahártyáját.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Képes a betegek/sérültek alapvető megvizsgálására.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Képes az újraélesztés hatásos kivitelezésére.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Képes a súlyos vérzések felismerésére, valamint ellátására.</w:t>
            </w:r>
          </w:p>
          <w:p w:rsidR="004F213B" w:rsidRDefault="004F213B" w:rsidP="00497397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Képes a különböző sérülések felismerésére, valamint ellátására.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Képes a leggyakoribb belgyógyászati eredetű megbetegedések felismerésére és ellátására. </w:t>
            </w:r>
          </w:p>
          <w:p w:rsidR="004F213B" w:rsidRDefault="004F213B" w:rsidP="004F213B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176" w:hanging="142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attitűd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lang w:eastAsia="en-US"/>
              </w:rPr>
              <w:t>Nyitott és fogékony az elsősegélynyújtás tudományosan bizonyított szakmai alapjainak megismerésére és alkalmazására.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   Igényli a szakmai fejlődést, nyitott az új tudományos eredmények befogadására, törekszik azok megismerésére.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   A bajbajutott beteghez empátiával viszonyul, fontosnak tartja a kommunikációt, felismeri a beteg ezirányú szükségleteit és igényét.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   Elkötelezett a minőségi betegellátó tevékenység iránt, saját munkáját indokolt esetben, az ennek történő megfelelés érdekében kritikával illeti.</w:t>
            </w:r>
          </w:p>
          <w:p w:rsidR="004F213B" w:rsidRDefault="004F213B" w:rsidP="004F213B">
            <w:pPr>
              <w:numPr>
                <w:ilvl w:val="0"/>
                <w:numId w:val="3"/>
              </w:numPr>
              <w:tabs>
                <w:tab w:val="left" w:pos="317"/>
              </w:tabs>
              <w:suppressAutoHyphens/>
              <w:spacing w:line="276" w:lineRule="auto"/>
              <w:ind w:left="176" w:hanging="142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autonómia és felelősség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A segítségnyújtást igénylő helyzetek esetén a szükséges beavatkozásokat elvégzi, önálló döntést hoz a mentőhívás szükségességéről.</w:t>
            </w:r>
          </w:p>
          <w:p w:rsidR="004F213B" w:rsidRDefault="004F213B" w:rsidP="004F213B">
            <w:pPr>
              <w:pStyle w:val="NormlWeb"/>
              <w:spacing w:line="276" w:lineRule="auto"/>
              <w:ind w:left="380" w:hanging="380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   Komplex alapszintű újraélesztést végez, szükség esetén segítők bevonásával.</w:t>
            </w:r>
          </w:p>
          <w:p w:rsidR="001938CE" w:rsidRPr="00C774F7" w:rsidRDefault="004F213B" w:rsidP="004F213B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  <w:r>
              <w:rPr>
                <w:lang w:eastAsia="en-US"/>
              </w:rPr>
              <w:t>- A betegeket/sérülteket önállóan ellátja a tőle elvárható módon.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49739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4F213B">
              <w:rPr>
                <w:b/>
                <w:sz w:val="22"/>
                <w:szCs w:val="22"/>
              </w:rPr>
              <w:t xml:space="preserve"> </w:t>
            </w:r>
            <w:r w:rsidR="00497397">
              <w:rPr>
                <w:b/>
                <w:sz w:val="22"/>
                <w:szCs w:val="22"/>
              </w:rPr>
              <w:t xml:space="preserve">Prof. Dr. Betlehem József, </w:t>
            </w:r>
            <w:r w:rsidR="00497397" w:rsidRPr="00497397">
              <w:rPr>
                <w:b/>
                <w:sz w:val="22"/>
                <w:szCs w:val="22"/>
              </w:rPr>
              <w:t>egyetemi tanár, intézetigazgató,</w:t>
            </w:r>
            <w:r w:rsidR="00497397">
              <w:rPr>
                <w:b/>
                <w:sz w:val="22"/>
                <w:szCs w:val="22"/>
              </w:rPr>
              <w:t xml:space="preserve"> dékán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van(nak)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Default="00497397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Pandur Attila, szakoktató</w:t>
            </w:r>
          </w:p>
          <w:p w:rsidR="00497397" w:rsidRPr="00403737" w:rsidRDefault="00497397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Köcse Tamás, szakoktató</w:t>
            </w:r>
          </w:p>
        </w:tc>
      </w:tr>
    </w:tbl>
    <w:p w:rsidR="00E073D5" w:rsidRDefault="009D0C8E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C8E" w:rsidRDefault="009D0C8E" w:rsidP="00E77819">
      <w:r>
        <w:separator/>
      </w:r>
    </w:p>
  </w:endnote>
  <w:endnote w:type="continuationSeparator" w:id="0">
    <w:p w:rsidR="009D0C8E" w:rsidRDefault="009D0C8E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C8E" w:rsidRDefault="009D0C8E" w:rsidP="00E77819">
      <w:r>
        <w:separator/>
      </w:r>
    </w:p>
  </w:footnote>
  <w:footnote w:type="continuationSeparator" w:id="0">
    <w:p w:rsidR="009D0C8E" w:rsidRDefault="009D0C8E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6314"/>
    <w:multiLevelType w:val="hybridMultilevel"/>
    <w:tmpl w:val="0F884E64"/>
    <w:lvl w:ilvl="0" w:tplc="072CA2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77D80"/>
    <w:rsid w:val="000813D0"/>
    <w:rsid w:val="0009237B"/>
    <w:rsid w:val="000A4D59"/>
    <w:rsid w:val="00141328"/>
    <w:rsid w:val="00147927"/>
    <w:rsid w:val="001938CE"/>
    <w:rsid w:val="00243230"/>
    <w:rsid w:val="00267376"/>
    <w:rsid w:val="00273951"/>
    <w:rsid w:val="00294BD9"/>
    <w:rsid w:val="002A3C45"/>
    <w:rsid w:val="0042593C"/>
    <w:rsid w:val="00497397"/>
    <w:rsid w:val="004F213B"/>
    <w:rsid w:val="005B42AF"/>
    <w:rsid w:val="0062559D"/>
    <w:rsid w:val="006706FC"/>
    <w:rsid w:val="006A1BC0"/>
    <w:rsid w:val="006A3C32"/>
    <w:rsid w:val="006D2016"/>
    <w:rsid w:val="006E32F4"/>
    <w:rsid w:val="00796D12"/>
    <w:rsid w:val="007A2609"/>
    <w:rsid w:val="0080108E"/>
    <w:rsid w:val="00856C1C"/>
    <w:rsid w:val="009514CC"/>
    <w:rsid w:val="009D0C8E"/>
    <w:rsid w:val="00A259EC"/>
    <w:rsid w:val="00A82EFF"/>
    <w:rsid w:val="00AA18F6"/>
    <w:rsid w:val="00AF27FE"/>
    <w:rsid w:val="00AF2D2E"/>
    <w:rsid w:val="00B42EC1"/>
    <w:rsid w:val="00C002F1"/>
    <w:rsid w:val="00C40340"/>
    <w:rsid w:val="00C774F7"/>
    <w:rsid w:val="00C96894"/>
    <w:rsid w:val="00D237A3"/>
    <w:rsid w:val="00D31E3A"/>
    <w:rsid w:val="00D65E5F"/>
    <w:rsid w:val="00D87527"/>
    <w:rsid w:val="00D95AA2"/>
    <w:rsid w:val="00DD45F1"/>
    <w:rsid w:val="00E77819"/>
    <w:rsid w:val="00E86D48"/>
    <w:rsid w:val="00EB3B6B"/>
    <w:rsid w:val="00FA342E"/>
    <w:rsid w:val="00FE3A1A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267F"/>
  <w15:docId w15:val="{4F96A200-B077-4CEF-A9F4-A9ECA078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0276D-E750-4D83-A3BD-77B06EFA87D5}"/>
</file>

<file path=customXml/itemProps2.xml><?xml version="1.0" encoding="utf-8"?>
<ds:datastoreItem xmlns:ds="http://schemas.openxmlformats.org/officeDocument/2006/customXml" ds:itemID="{EB2A2A9B-076C-4F60-9CFB-1E6AC990B181}"/>
</file>

<file path=customXml/itemProps3.xml><?xml version="1.0" encoding="utf-8"?>
<ds:datastoreItem xmlns:ds="http://schemas.openxmlformats.org/officeDocument/2006/customXml" ds:itemID="{F29109A9-8062-4903-B2FB-FB7776FA1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851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Attila</cp:lastModifiedBy>
  <cp:revision>8</cp:revision>
  <cp:lastPrinted>2017-12-15T06:47:00Z</cp:lastPrinted>
  <dcterms:created xsi:type="dcterms:W3CDTF">2018-06-29T15:52:00Z</dcterms:created>
  <dcterms:modified xsi:type="dcterms:W3CDTF">2018-07-10T19:59:00Z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