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7"/>
        <w:gridCol w:w="2205"/>
      </w:tblGrid>
      <w:tr w:rsidR="00E77819" w:rsidRPr="00403737" w14:paraId="710A9182" w14:textId="77777777" w:rsidTr="00A45EAD"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321EC7" w14:textId="799A0B1B" w:rsidR="00E77819" w:rsidRPr="00403737" w:rsidRDefault="00E77819" w:rsidP="001E1074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2E3C78">
              <w:rPr>
                <w:sz w:val="22"/>
                <w:szCs w:val="22"/>
              </w:rPr>
              <w:t>Tantárgy</w:t>
            </w:r>
            <w:r w:rsidRPr="00A45EAD">
              <w:rPr>
                <w:b/>
                <w:sz w:val="22"/>
                <w:szCs w:val="22"/>
              </w:rPr>
              <w:t xml:space="preserve"> </w:t>
            </w:r>
            <w:r w:rsidRPr="00A45EAD">
              <w:rPr>
                <w:sz w:val="22"/>
                <w:szCs w:val="22"/>
              </w:rPr>
              <w:t>neve:</w:t>
            </w:r>
            <w:r w:rsidRPr="00A45EAD">
              <w:rPr>
                <w:b/>
                <w:sz w:val="22"/>
                <w:szCs w:val="22"/>
              </w:rPr>
              <w:t xml:space="preserve"> </w:t>
            </w:r>
            <w:r w:rsidR="001E1074">
              <w:rPr>
                <w:b/>
                <w:sz w:val="22"/>
                <w:szCs w:val="22"/>
              </w:rPr>
              <w:t>Klinikai diagnosztika és döntéshoz</w:t>
            </w:r>
            <w:bookmarkStart w:id="0" w:name="_GoBack"/>
            <w:bookmarkEnd w:id="0"/>
            <w:r w:rsidR="001E1074">
              <w:rPr>
                <w:b/>
                <w:sz w:val="22"/>
                <w:szCs w:val="22"/>
              </w:rPr>
              <w:t>atal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D3810C" w14:textId="77777777" w:rsidR="00E77819" w:rsidRPr="00403737" w:rsidRDefault="00243230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30">
              <w:rPr>
                <w:b/>
                <w:sz w:val="22"/>
                <w:szCs w:val="22"/>
                <w:highlight w:val="yellow"/>
              </w:rPr>
              <w:t xml:space="preserve">Kreditértéke: </w:t>
            </w:r>
          </w:p>
        </w:tc>
      </w:tr>
      <w:tr w:rsidR="00E77819" w:rsidRPr="00403737" w14:paraId="028DF7DB" w14:textId="77777777" w:rsidTr="00A45EAD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7D14A6" w14:textId="77777777" w:rsidR="00E77819" w:rsidRPr="00403737" w:rsidRDefault="00E77819" w:rsidP="00D8752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2E3C78">
              <w:rPr>
                <w:sz w:val="22"/>
                <w:szCs w:val="22"/>
              </w:rPr>
              <w:t>tantárgy besorolása:</w:t>
            </w:r>
            <w:r w:rsidRPr="00D87527">
              <w:rPr>
                <w:sz w:val="22"/>
                <w:szCs w:val="22"/>
              </w:rPr>
              <w:t xml:space="preserve"> </w:t>
            </w:r>
            <w:r w:rsidR="00D87527" w:rsidRPr="00D87527">
              <w:rPr>
                <w:b/>
                <w:sz w:val="22"/>
                <w:szCs w:val="22"/>
              </w:rPr>
              <w:t>kötelező</w:t>
            </w:r>
          </w:p>
        </w:tc>
      </w:tr>
      <w:tr w:rsidR="00E77819" w:rsidRPr="00403737" w14:paraId="5372AA1C" w14:textId="77777777" w:rsidTr="00A45EAD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6A2DFB" w14:textId="77777777" w:rsidR="00E77819" w:rsidRPr="00403737" w:rsidRDefault="00E77819" w:rsidP="00AC6CB2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2E3C78">
              <w:rPr>
                <w:sz w:val="22"/>
                <w:szCs w:val="22"/>
              </w:rPr>
              <w:t>A tantárgy elméleti vagy gyakorlati jellegének mértéke, „képzési karaktere”</w:t>
            </w:r>
            <w:r w:rsidR="00796D12" w:rsidRPr="002E3C78">
              <w:rPr>
                <w:sz w:val="22"/>
                <w:szCs w:val="22"/>
              </w:rPr>
              <w:t>:</w:t>
            </w:r>
            <w:r w:rsidR="00796D12">
              <w:rPr>
                <w:sz w:val="22"/>
                <w:szCs w:val="22"/>
              </w:rPr>
              <w:t xml:space="preserve"> 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w:rsidR="00E77819" w:rsidRPr="00403737" w14:paraId="207C71B4" w14:textId="77777777" w:rsidTr="00A45EAD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F4E04A" w14:textId="77777777" w:rsidR="00E77819" w:rsidRPr="00386FCD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6E699A">
              <w:rPr>
                <w:sz w:val="22"/>
                <w:szCs w:val="22"/>
              </w:rPr>
              <w:t>A</w:t>
            </w:r>
            <w:r w:rsidRPr="00386FCD">
              <w:rPr>
                <w:sz w:val="22"/>
                <w:szCs w:val="22"/>
              </w:rPr>
              <w:t xml:space="preserve"> tanóra típusa:</w:t>
            </w:r>
            <w:r w:rsidRPr="006E699A">
              <w:rPr>
                <w:sz w:val="22"/>
                <w:szCs w:val="22"/>
              </w:rPr>
              <w:t xml:space="preserve"> </w:t>
            </w:r>
            <w:r w:rsidRPr="00386FCD">
              <w:rPr>
                <w:b/>
                <w:sz w:val="22"/>
                <w:szCs w:val="22"/>
                <w:u w:val="single"/>
              </w:rPr>
              <w:t>ea.</w:t>
            </w:r>
            <w:r w:rsidRPr="006E699A">
              <w:rPr>
                <w:sz w:val="22"/>
                <w:szCs w:val="22"/>
              </w:rPr>
              <w:t xml:space="preserve"> / szem. / gyak. / konz. és </w:t>
            </w:r>
            <w:r w:rsidRPr="006E699A">
              <w:rPr>
                <w:b/>
                <w:sz w:val="22"/>
                <w:szCs w:val="22"/>
              </w:rPr>
              <w:t>óraszáma</w:t>
            </w:r>
            <w:r w:rsidR="00243230" w:rsidRPr="006E699A">
              <w:rPr>
                <w:sz w:val="22"/>
                <w:szCs w:val="22"/>
              </w:rPr>
              <w:t>:</w:t>
            </w:r>
            <w:r w:rsidR="00243230">
              <w:rPr>
                <w:sz w:val="22"/>
                <w:szCs w:val="22"/>
              </w:rPr>
              <w:t xml:space="preserve"> </w:t>
            </w:r>
            <w:r w:rsidR="005E7F3A">
              <w:rPr>
                <w:b/>
                <w:sz w:val="22"/>
                <w:szCs w:val="22"/>
              </w:rPr>
              <w:t>56</w:t>
            </w:r>
            <w:r w:rsidR="006E699A" w:rsidRPr="006E699A">
              <w:rPr>
                <w:b/>
                <w:sz w:val="22"/>
                <w:szCs w:val="22"/>
              </w:rPr>
              <w:t xml:space="preserve"> óra előadás</w:t>
            </w:r>
            <w:r w:rsidR="00243230"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386FCD">
              <w:rPr>
                <w:sz w:val="22"/>
                <w:szCs w:val="22"/>
              </w:rPr>
              <w:t>félévben,</w:t>
            </w:r>
          </w:p>
          <w:p w14:paraId="7D4D7B34" w14:textId="77777777" w:rsidR="00E77819" w:rsidRPr="00403737" w:rsidRDefault="00E77819" w:rsidP="00BD7DF4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86FCD">
              <w:rPr>
                <w:sz w:val="22"/>
                <w:szCs w:val="22"/>
              </w:rPr>
              <w:t>Az adott ismeret átadásában alkalmazandó további</w:t>
            </w:r>
            <w:r w:rsidR="00386FCD">
              <w:rPr>
                <w:sz w:val="22"/>
                <w:szCs w:val="22"/>
              </w:rPr>
              <w:t xml:space="preserve"> </w:t>
            </w:r>
            <w:r w:rsidRPr="00386FCD">
              <w:rPr>
                <w:sz w:val="22"/>
                <w:szCs w:val="22"/>
              </w:rPr>
              <w:t>módok, jellemzők</w:t>
            </w:r>
            <w:r w:rsidRPr="00403737">
              <w:rPr>
                <w:sz w:val="22"/>
                <w:szCs w:val="22"/>
              </w:rPr>
              <w:t xml:space="preserve">: </w:t>
            </w:r>
            <w:r w:rsidR="00BD7DF4">
              <w:rPr>
                <w:b/>
                <w:sz w:val="22"/>
                <w:szCs w:val="22"/>
              </w:rPr>
              <w:t>-</w:t>
            </w:r>
          </w:p>
        </w:tc>
      </w:tr>
      <w:tr w:rsidR="00E77819" w:rsidRPr="00403737" w14:paraId="76A9B13F" w14:textId="77777777" w:rsidTr="00A45EAD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22CAF3" w14:textId="77777777" w:rsidR="00E77819" w:rsidRPr="0080108E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386FCD">
              <w:rPr>
                <w:sz w:val="22"/>
                <w:szCs w:val="22"/>
              </w:rPr>
              <w:t>A számonkérés módja (koll. / gyj. / egyéb</w:t>
            </w:r>
            <w:r w:rsidRPr="00403737">
              <w:rPr>
                <w:b/>
                <w:sz w:val="22"/>
                <w:szCs w:val="22"/>
              </w:rPr>
              <w:t>)</w:t>
            </w:r>
            <w:r w:rsidRPr="00403737">
              <w:rPr>
                <w:sz w:val="22"/>
                <w:szCs w:val="22"/>
              </w:rPr>
              <w:t xml:space="preserve">: </w:t>
            </w:r>
            <w:r w:rsidR="006E699A" w:rsidRPr="006E699A">
              <w:rPr>
                <w:b/>
                <w:sz w:val="22"/>
                <w:szCs w:val="22"/>
              </w:rPr>
              <w:t>szóbeli kollokvium</w:t>
            </w:r>
          </w:p>
          <w:p w14:paraId="0ED0ADD6" w14:textId="77777777" w:rsidR="00E77819" w:rsidRPr="00403737" w:rsidRDefault="00E77819" w:rsidP="00BD7DF4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Az ismeretellenőrzésben alkalmazand</w:t>
            </w:r>
            <w:r w:rsidRPr="00952574">
              <w:rPr>
                <w:sz w:val="22"/>
                <w:szCs w:val="22"/>
              </w:rPr>
              <w:t>ó további módok:</w:t>
            </w:r>
            <w:r w:rsidR="00796D12" w:rsidRPr="00952574">
              <w:rPr>
                <w:sz w:val="22"/>
                <w:szCs w:val="22"/>
              </w:rPr>
              <w:t xml:space="preserve"> </w:t>
            </w:r>
            <w:r w:rsidR="0057740D" w:rsidRPr="0057740D">
              <w:rPr>
                <w:b/>
                <w:sz w:val="22"/>
                <w:szCs w:val="22"/>
              </w:rPr>
              <w:t xml:space="preserve">a </w:t>
            </w:r>
            <w:r w:rsidR="006E699A" w:rsidRPr="006E699A">
              <w:rPr>
                <w:b/>
                <w:sz w:val="22"/>
                <w:szCs w:val="22"/>
              </w:rPr>
              <w:t xml:space="preserve">félév során </w:t>
            </w:r>
            <w:r w:rsidR="00BD7DF4">
              <w:rPr>
                <w:b/>
                <w:sz w:val="22"/>
                <w:szCs w:val="22"/>
              </w:rPr>
              <w:t>két</w:t>
            </w:r>
            <w:r w:rsidR="006E699A" w:rsidRPr="006E699A">
              <w:rPr>
                <w:b/>
                <w:sz w:val="22"/>
                <w:szCs w:val="22"/>
              </w:rPr>
              <w:t xml:space="preserve"> zárthelyi dolgozat</w:t>
            </w:r>
          </w:p>
        </w:tc>
      </w:tr>
      <w:tr w:rsidR="00E77819" w:rsidRPr="00403737" w14:paraId="48762F12" w14:textId="77777777" w:rsidTr="00A45EAD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01BB2A" w14:textId="77777777" w:rsidR="00E77819" w:rsidRPr="00403737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6E699A">
              <w:rPr>
                <w:sz w:val="22"/>
                <w:szCs w:val="22"/>
              </w:rPr>
              <w:t xml:space="preserve">tantárgy </w:t>
            </w:r>
            <w:r w:rsidRPr="0057740D">
              <w:rPr>
                <w:sz w:val="22"/>
                <w:szCs w:val="22"/>
              </w:rPr>
              <w:t>tantervi helye</w:t>
            </w:r>
            <w:r w:rsidR="00386FCD" w:rsidRPr="0057740D">
              <w:rPr>
                <w:sz w:val="22"/>
                <w:szCs w:val="22"/>
              </w:rPr>
              <w:t xml:space="preserve">: </w:t>
            </w:r>
            <w:r w:rsidR="006E699A" w:rsidRPr="006E699A">
              <w:rPr>
                <w:b/>
                <w:sz w:val="22"/>
                <w:szCs w:val="22"/>
              </w:rPr>
              <w:t>I</w:t>
            </w:r>
            <w:r w:rsidR="009E0A6F">
              <w:rPr>
                <w:b/>
                <w:sz w:val="22"/>
                <w:szCs w:val="22"/>
              </w:rPr>
              <w:t>V</w:t>
            </w:r>
            <w:r w:rsidR="006E699A">
              <w:rPr>
                <w:b/>
                <w:sz w:val="22"/>
                <w:szCs w:val="22"/>
              </w:rPr>
              <w:t>. félév</w:t>
            </w:r>
          </w:p>
        </w:tc>
      </w:tr>
      <w:tr w:rsidR="00E77819" w:rsidRPr="00403737" w14:paraId="760CB223" w14:textId="77777777" w:rsidTr="00A45EAD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F8A632" w14:textId="77777777" w:rsidR="00E77819" w:rsidRPr="00403737" w:rsidRDefault="00E77819" w:rsidP="005E7F3A">
            <w:pPr>
              <w:suppressAutoHyphens/>
              <w:jc w:val="both"/>
              <w:rPr>
                <w:sz w:val="22"/>
                <w:szCs w:val="22"/>
              </w:rPr>
            </w:pPr>
            <w:r w:rsidRPr="00386FCD">
              <w:rPr>
                <w:sz w:val="22"/>
                <w:szCs w:val="22"/>
              </w:rPr>
              <w:t>Előtanulmányi feltételek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5E7F3A">
              <w:rPr>
                <w:b/>
                <w:sz w:val="22"/>
                <w:szCs w:val="22"/>
              </w:rPr>
              <w:t>Mentéstechnika</w:t>
            </w:r>
          </w:p>
        </w:tc>
      </w:tr>
    </w:tbl>
    <w:p w14:paraId="601AF128" w14:textId="77777777"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649"/>
      </w:tblGrid>
      <w:tr w:rsidR="00E77819" w:rsidRPr="00403737" w14:paraId="69844C3A" w14:textId="77777777" w:rsidTr="002A4B83">
        <w:tc>
          <w:tcPr>
            <w:tcW w:w="8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A282E5" w14:textId="77777777" w:rsidR="00E77819" w:rsidRPr="00D237A3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386FCD">
              <w:rPr>
                <w:b/>
                <w:sz w:val="22"/>
                <w:szCs w:val="22"/>
              </w:rPr>
              <w:t>Tantárgy-leírás</w:t>
            </w:r>
            <w:r w:rsidRPr="00386FCD">
              <w:rPr>
                <w:sz w:val="22"/>
                <w:szCs w:val="22"/>
              </w:rPr>
              <w:t>:</w:t>
            </w:r>
            <w:r w:rsidRPr="00D237A3">
              <w:rPr>
                <w:sz w:val="22"/>
                <w:szCs w:val="22"/>
              </w:rPr>
              <w:t xml:space="preserve"> az elsajátítandó </w:t>
            </w:r>
            <w:r w:rsidRPr="00D237A3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E77819" w:rsidRPr="00403737" w14:paraId="369DC1A4" w14:textId="77777777" w:rsidTr="002A4B83">
        <w:trPr>
          <w:trHeight w:val="702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6D4063" w14:textId="77777777" w:rsidR="003B0211" w:rsidRPr="003B0211" w:rsidRDefault="003B0211" w:rsidP="003B0211">
            <w:pPr>
              <w:suppressAutoHyphens/>
              <w:jc w:val="both"/>
              <w:rPr>
                <w:sz w:val="22"/>
                <w:szCs w:val="22"/>
              </w:rPr>
            </w:pPr>
            <w:r w:rsidRPr="003B0211">
              <w:rPr>
                <w:sz w:val="22"/>
                <w:szCs w:val="22"/>
              </w:rPr>
              <w:t xml:space="preserve">A kurzus során a </w:t>
            </w:r>
            <w:r>
              <w:rPr>
                <w:sz w:val="22"/>
                <w:szCs w:val="22"/>
              </w:rPr>
              <w:t>mentőtiszt hallgató</w:t>
            </w:r>
            <w:r w:rsidRPr="003B0211">
              <w:rPr>
                <w:sz w:val="22"/>
                <w:szCs w:val="22"/>
              </w:rPr>
              <w:t xml:space="preserve"> megismeri a sürgősségi tünetegyüttesek, a sürgősségi ellátásban előforduló leggyakoribb kórképek laboratóriumi és képalkotó diagnosztikus módszereit, azok korlátait, klinikai értékelésének mutatóit (szenzitivitás, specificitás, prediktív mutatók).</w:t>
            </w:r>
            <w:r>
              <w:rPr>
                <w:sz w:val="22"/>
                <w:szCs w:val="22"/>
              </w:rPr>
              <w:t xml:space="preserve"> Megismerkedik az ágymelletti laboratóriumi (POCT) és ultrahang (POCUS) diagnosztikus módszerekkel, diagnosztikus alkalmazhatóságukkal.</w:t>
            </w:r>
          </w:p>
          <w:p w14:paraId="614BDE58" w14:textId="77777777" w:rsidR="00F3226E" w:rsidRPr="00403737" w:rsidRDefault="003B0211" w:rsidP="003B0211">
            <w:pPr>
              <w:suppressAutoHyphens/>
              <w:jc w:val="both"/>
              <w:rPr>
                <w:sz w:val="22"/>
                <w:szCs w:val="22"/>
              </w:rPr>
            </w:pPr>
            <w:r w:rsidRPr="003B0211">
              <w:rPr>
                <w:sz w:val="22"/>
                <w:szCs w:val="22"/>
              </w:rPr>
              <w:t>Képessé válik az iránydiagnózisnak és az időablaknak megfelelő, a hazai és nemzetközi protokollokba illeszkedő diagnosztikus stratégia megalkotására, a leletek értékelésére és értelmezésére. Képes továbbá tájékoztatni a beteget illetve hozzátartozóját az igazolt diagnózisról, annak esetleges bizonytalanságáról. Képes szakszerűen, szintetizált módon tájékoztatni a betegellátásban résztvevő munkatársait, szakembereket a vizsgálati kérések szükségességéről, indikációiról, az addigi vizsgálati eredményekről.</w:t>
            </w:r>
          </w:p>
        </w:tc>
      </w:tr>
      <w:tr w:rsidR="007A2609" w:rsidRPr="00403737" w14:paraId="5E56DB61" w14:textId="77777777" w:rsidTr="002A4B83">
        <w:trPr>
          <w:trHeight w:val="388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1A8B17" w14:textId="77777777" w:rsidR="007A2609" w:rsidRPr="0057740D" w:rsidRDefault="001938CE" w:rsidP="001938CE">
            <w:pPr>
              <w:suppressAutoHyphens/>
              <w:ind w:left="34"/>
              <w:rPr>
                <w:sz w:val="22"/>
                <w:szCs w:val="22"/>
              </w:rPr>
            </w:pPr>
            <w:r w:rsidRPr="0057740D">
              <w:rPr>
                <w:sz w:val="22"/>
                <w:szCs w:val="22"/>
              </w:rPr>
              <w:t xml:space="preserve">A tantárgy heti bontású részletes tematikája </w:t>
            </w:r>
          </w:p>
        </w:tc>
      </w:tr>
      <w:tr w:rsidR="00BD7DF4" w:rsidRPr="00403737" w14:paraId="1737EF61" w14:textId="77777777" w:rsidTr="005E7F3A">
        <w:trPr>
          <w:trHeight w:val="49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2AF2E7" w14:textId="77777777" w:rsidR="00BD7DF4" w:rsidRPr="00243230" w:rsidRDefault="00BD7DF4" w:rsidP="00BD7DF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43230">
              <w:rPr>
                <w:sz w:val="24"/>
                <w:szCs w:val="24"/>
              </w:rPr>
              <w:t>hét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5984" w14:textId="77777777" w:rsidR="00BD7DF4" w:rsidRPr="006F1B53" w:rsidRDefault="005E7F3A" w:rsidP="00BD7DF4">
            <w:pPr>
              <w:jc w:val="both"/>
              <w:rPr>
                <w:sz w:val="24"/>
              </w:rPr>
            </w:pPr>
            <w:r>
              <w:rPr>
                <w:sz w:val="24"/>
              </w:rPr>
              <w:t>POCT:</w:t>
            </w:r>
            <w:r w:rsidR="007246DC">
              <w:rPr>
                <w:sz w:val="24"/>
              </w:rPr>
              <w:t xml:space="preserve"> </w:t>
            </w:r>
            <w:r w:rsidR="007246DC">
              <w:rPr>
                <w:sz w:val="24"/>
                <w:szCs w:val="24"/>
              </w:rPr>
              <w:t>A laboratóriumi vizsgálatok módszertana. Ágy melletti labordiagnosztikus módszerek (POCT). A vérképvizsgálat és leletének klinikai értékelése. Vérkémiai vizsgálatok, enzimszintmérések. A májműködés, a vesefunkció megítélése, cardialis biomarkerek.</w:t>
            </w:r>
          </w:p>
        </w:tc>
      </w:tr>
      <w:tr w:rsidR="00BD7DF4" w:rsidRPr="00403737" w14:paraId="29E1A17E" w14:textId="77777777" w:rsidTr="005E7F3A">
        <w:trPr>
          <w:trHeight w:val="45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E70838" w14:textId="77777777" w:rsidR="00BD7DF4" w:rsidRPr="00CA4B2B" w:rsidRDefault="00BD7DF4" w:rsidP="00BD7DF4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2.hét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3E15" w14:textId="77777777" w:rsidR="00BD7DF4" w:rsidRPr="006F1B53" w:rsidRDefault="005E7F3A" w:rsidP="00BD7DF4">
            <w:pPr>
              <w:jc w:val="both"/>
              <w:rPr>
                <w:sz w:val="24"/>
              </w:rPr>
            </w:pPr>
            <w:r>
              <w:rPr>
                <w:sz w:val="24"/>
              </w:rPr>
              <w:t>ASTRUP:</w:t>
            </w:r>
            <w:r w:rsidR="007246DC">
              <w:rPr>
                <w:sz w:val="24"/>
              </w:rPr>
              <w:t xml:space="preserve"> </w:t>
            </w:r>
            <w:r w:rsidR="007246DC" w:rsidRPr="007246DC">
              <w:rPr>
                <w:sz w:val="24"/>
              </w:rPr>
              <w:t>A vérgázvizsgálatok és az eredmény értelmezése.</w:t>
            </w:r>
          </w:p>
        </w:tc>
      </w:tr>
      <w:tr w:rsidR="00BD7DF4" w:rsidRPr="00403737" w14:paraId="4B3FC2C7" w14:textId="77777777" w:rsidTr="005E7F3A">
        <w:trPr>
          <w:trHeight w:val="45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FD2DE6" w14:textId="77777777" w:rsidR="00BD7DF4" w:rsidRPr="00CA4B2B" w:rsidRDefault="00BD7DF4" w:rsidP="00BD7DF4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3.hét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A333" w14:textId="77777777" w:rsidR="00BD7DF4" w:rsidRPr="006F1B53" w:rsidRDefault="005E7F3A" w:rsidP="00BD7DF4">
            <w:pPr>
              <w:jc w:val="both"/>
              <w:rPr>
                <w:sz w:val="24"/>
              </w:rPr>
            </w:pPr>
            <w:r>
              <w:rPr>
                <w:sz w:val="24"/>
              </w:rPr>
              <w:t>KÉPALKOTÓ DIAGNOSZTIKA:</w:t>
            </w:r>
            <w:r w:rsidR="007246DC">
              <w:rPr>
                <w:sz w:val="24"/>
              </w:rPr>
              <w:t xml:space="preserve"> </w:t>
            </w:r>
            <w:r w:rsidR="007246DC" w:rsidRPr="007246DC">
              <w:rPr>
                <w:sz w:val="24"/>
              </w:rPr>
              <w:t>A képalkotó vizsgálatok lehetőségei: klasszikus röntgendiagnosztika.</w:t>
            </w:r>
            <w:r w:rsidR="007246DC">
              <w:rPr>
                <w:sz w:val="24"/>
              </w:rPr>
              <w:t xml:space="preserve"> </w:t>
            </w:r>
            <w:r w:rsidR="007246DC" w:rsidRPr="007246DC">
              <w:rPr>
                <w:sz w:val="24"/>
              </w:rPr>
              <w:t>Ultrahangvizsgálatok, Doppler vizsgálat, color Duplex scan, echocardiográfia. FAST UH módszertan.</w:t>
            </w:r>
            <w:r w:rsidR="007246DC">
              <w:rPr>
                <w:sz w:val="24"/>
              </w:rPr>
              <w:t xml:space="preserve"> </w:t>
            </w:r>
            <w:r w:rsidR="007246DC">
              <w:rPr>
                <w:sz w:val="24"/>
                <w:szCs w:val="24"/>
              </w:rPr>
              <w:t>CT és MR vizsgálat, PET-CT, SPECT, ezek szerepe a klinikai diagnosztikában. Szcintigráfia, angiográfia, MR-angiográfia. Kontrasztanyagok.</w:t>
            </w:r>
          </w:p>
        </w:tc>
      </w:tr>
      <w:tr w:rsidR="005E7F3A" w:rsidRPr="00403737" w14:paraId="46F34ABB" w14:textId="77777777" w:rsidTr="005E7F3A">
        <w:trPr>
          <w:trHeight w:val="45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2031AB" w14:textId="77777777" w:rsidR="005E7F3A" w:rsidRPr="00CA4B2B" w:rsidRDefault="005E7F3A" w:rsidP="005E7F3A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4.hét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641C" w14:textId="77777777" w:rsidR="005E7F3A" w:rsidRDefault="005E7F3A" w:rsidP="007246DC">
            <w:pPr>
              <w:jc w:val="both"/>
            </w:pPr>
            <w:r w:rsidRPr="00A47911">
              <w:rPr>
                <w:sz w:val="24"/>
              </w:rPr>
              <w:t>KÉPALKOTÓ DIAGNOSZTIKA:</w:t>
            </w:r>
            <w:r w:rsidR="007246DC">
              <w:rPr>
                <w:sz w:val="24"/>
              </w:rPr>
              <w:t xml:space="preserve"> </w:t>
            </w:r>
            <w:r w:rsidR="007246DC" w:rsidRPr="007246DC">
              <w:rPr>
                <w:sz w:val="24"/>
              </w:rPr>
              <w:t>A tüdő és pleura radiológiai vizsgálata</w:t>
            </w:r>
            <w:r w:rsidR="007246DC">
              <w:rPr>
                <w:sz w:val="24"/>
              </w:rPr>
              <w:t>, a</w:t>
            </w:r>
            <w:r w:rsidR="007246DC" w:rsidRPr="007246DC">
              <w:rPr>
                <w:sz w:val="24"/>
              </w:rPr>
              <w:t xml:space="preserve"> szív és mediasztinum</w:t>
            </w:r>
          </w:p>
        </w:tc>
      </w:tr>
      <w:tr w:rsidR="005E7F3A" w:rsidRPr="00403737" w14:paraId="79C07A25" w14:textId="77777777" w:rsidTr="005E7F3A">
        <w:trPr>
          <w:trHeight w:val="45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86C97D" w14:textId="77777777" w:rsidR="005E7F3A" w:rsidRPr="00CA4B2B" w:rsidRDefault="005E7F3A" w:rsidP="005E7F3A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5.hét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AD49" w14:textId="77777777" w:rsidR="005E7F3A" w:rsidRDefault="005E7F3A" w:rsidP="007246DC">
            <w:pPr>
              <w:jc w:val="both"/>
            </w:pPr>
            <w:r w:rsidRPr="00A47911">
              <w:rPr>
                <w:sz w:val="24"/>
              </w:rPr>
              <w:t>KÉPALKOTÓ DIAGNOSZTIKA:</w:t>
            </w:r>
            <w:r w:rsidR="007246DC">
              <w:t xml:space="preserve"> </w:t>
            </w:r>
            <w:r w:rsidR="007246DC" w:rsidRPr="007246DC">
              <w:rPr>
                <w:sz w:val="24"/>
              </w:rPr>
              <w:t>Gyomor béltraktus radiológiai vizsgáló módszerei</w:t>
            </w:r>
            <w:r w:rsidR="007246DC">
              <w:rPr>
                <w:sz w:val="24"/>
              </w:rPr>
              <w:t>, a</w:t>
            </w:r>
            <w:r w:rsidR="007246DC" w:rsidRPr="007246DC">
              <w:rPr>
                <w:sz w:val="24"/>
              </w:rPr>
              <w:t xml:space="preserve"> máj, epeút</w:t>
            </w:r>
            <w:r w:rsidR="007246DC">
              <w:rPr>
                <w:sz w:val="24"/>
              </w:rPr>
              <w:t>,</w:t>
            </w:r>
            <w:r w:rsidR="007246DC" w:rsidRPr="007246DC">
              <w:rPr>
                <w:sz w:val="24"/>
              </w:rPr>
              <w:t xml:space="preserve"> pancreas vizsgálata</w:t>
            </w:r>
          </w:p>
        </w:tc>
      </w:tr>
      <w:tr w:rsidR="005E7F3A" w:rsidRPr="00403737" w14:paraId="156FFCE1" w14:textId="77777777" w:rsidTr="005E7F3A">
        <w:trPr>
          <w:trHeight w:val="45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1AD939" w14:textId="77777777" w:rsidR="005E7F3A" w:rsidRPr="00CA4B2B" w:rsidRDefault="005E7F3A" w:rsidP="005E7F3A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6.hét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3C3E" w14:textId="77777777" w:rsidR="005E7F3A" w:rsidRPr="007246DC" w:rsidRDefault="005E7F3A" w:rsidP="007246DC">
            <w:pPr>
              <w:jc w:val="both"/>
              <w:rPr>
                <w:sz w:val="24"/>
              </w:rPr>
            </w:pPr>
            <w:r w:rsidRPr="00A47911">
              <w:rPr>
                <w:sz w:val="24"/>
              </w:rPr>
              <w:t>KÉPALKOTÓ DIAGNOSZTIKA:</w:t>
            </w:r>
            <w:r w:rsidR="007246DC">
              <w:t xml:space="preserve"> </w:t>
            </w:r>
            <w:r w:rsidR="007246DC" w:rsidRPr="007246DC">
              <w:rPr>
                <w:sz w:val="24"/>
              </w:rPr>
              <w:t xml:space="preserve">A vese és </w:t>
            </w:r>
            <w:r w:rsidR="007246DC">
              <w:rPr>
                <w:sz w:val="24"/>
              </w:rPr>
              <w:t>húgyutak radiológiai vizsgálata, a</w:t>
            </w:r>
            <w:r w:rsidR="007246DC" w:rsidRPr="007246DC">
              <w:rPr>
                <w:sz w:val="24"/>
              </w:rPr>
              <w:t xml:space="preserve"> központi idegrendszer radiológiai vizsgálata</w:t>
            </w:r>
          </w:p>
        </w:tc>
      </w:tr>
      <w:tr w:rsidR="005E7F3A" w:rsidRPr="00403737" w14:paraId="5494E747" w14:textId="77777777" w:rsidTr="005E7F3A">
        <w:trPr>
          <w:trHeight w:val="45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44FBDD" w14:textId="77777777" w:rsidR="005E7F3A" w:rsidRPr="00CA4B2B" w:rsidRDefault="005E7F3A" w:rsidP="005E7F3A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7.hét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02A2" w14:textId="77777777" w:rsidR="005E7F3A" w:rsidRDefault="005E7F3A" w:rsidP="007246DC">
            <w:pPr>
              <w:jc w:val="both"/>
            </w:pPr>
            <w:r w:rsidRPr="00A47911">
              <w:rPr>
                <w:sz w:val="24"/>
              </w:rPr>
              <w:t>KÉPALKOTÓ DIAGNOSZTIKA:</w:t>
            </w:r>
            <w:r w:rsidR="007246DC">
              <w:t xml:space="preserve"> </w:t>
            </w:r>
            <w:r w:rsidR="007246DC" w:rsidRPr="007246DC">
              <w:rPr>
                <w:sz w:val="24"/>
              </w:rPr>
              <w:t>Akut has radiológiai vizsgálata. Csontok és ízületek radiológiai vizsgálata</w:t>
            </w:r>
          </w:p>
        </w:tc>
      </w:tr>
      <w:tr w:rsidR="00BD7DF4" w:rsidRPr="00403737" w14:paraId="7DE76B32" w14:textId="77777777" w:rsidTr="005E7F3A">
        <w:trPr>
          <w:trHeight w:val="45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79743E" w14:textId="77777777" w:rsidR="00BD7DF4" w:rsidRPr="00CA4B2B" w:rsidRDefault="00BD7DF4" w:rsidP="00BD7DF4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8.hét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6C7B" w14:textId="77777777" w:rsidR="00BD7DF4" w:rsidRPr="006F1B53" w:rsidRDefault="005E7F3A" w:rsidP="00BD7DF4">
            <w:pPr>
              <w:jc w:val="both"/>
              <w:rPr>
                <w:sz w:val="24"/>
              </w:rPr>
            </w:pPr>
            <w:r>
              <w:rPr>
                <w:sz w:val="24"/>
              </w:rPr>
              <w:t>POCUS: A célzott ultrahangdiagnosztika alapfogalmai</w:t>
            </w:r>
          </w:p>
        </w:tc>
      </w:tr>
      <w:tr w:rsidR="00BD7DF4" w:rsidRPr="00403737" w14:paraId="52EB9DAE" w14:textId="77777777" w:rsidTr="005E7F3A">
        <w:trPr>
          <w:trHeight w:val="45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084611" w14:textId="77777777" w:rsidR="00BD7DF4" w:rsidRPr="00CA4B2B" w:rsidRDefault="00BD7DF4" w:rsidP="00BD7DF4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9.hét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B90B" w14:textId="77777777" w:rsidR="00BD7DF4" w:rsidRPr="006F1B53" w:rsidRDefault="005E7F3A" w:rsidP="00BD7DF4">
            <w:pPr>
              <w:jc w:val="both"/>
              <w:rPr>
                <w:sz w:val="24"/>
              </w:rPr>
            </w:pPr>
            <w:r>
              <w:rPr>
                <w:sz w:val="24"/>
              </w:rPr>
              <w:t>POCUS: Szervspecifikus modulok: célzott echocardiográfia, c</w:t>
            </w:r>
            <w:r w:rsidRPr="005E7F3A">
              <w:rPr>
                <w:sz w:val="24"/>
              </w:rPr>
              <w:t>élzott mellkasi – extrakardiális ultrahangvizsgálat</w:t>
            </w:r>
          </w:p>
        </w:tc>
      </w:tr>
      <w:tr w:rsidR="003F0DD1" w:rsidRPr="00403737" w14:paraId="36C69D6C" w14:textId="77777777" w:rsidTr="005E7F3A">
        <w:trPr>
          <w:trHeight w:val="45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0D0F61" w14:textId="77777777" w:rsidR="003F0DD1" w:rsidRPr="00CA4B2B" w:rsidRDefault="003F0DD1" w:rsidP="003F0DD1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10.hét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CDAF" w14:textId="77777777" w:rsidR="003F0DD1" w:rsidRPr="00F47B5B" w:rsidRDefault="005E7F3A" w:rsidP="003F0DD1">
            <w:pPr>
              <w:jc w:val="both"/>
              <w:rPr>
                <w:sz w:val="24"/>
                <w:szCs w:val="24"/>
              </w:rPr>
            </w:pPr>
            <w:r w:rsidRPr="00F47B5B">
              <w:rPr>
                <w:sz w:val="24"/>
                <w:szCs w:val="24"/>
              </w:rPr>
              <w:t xml:space="preserve">POCUS: </w:t>
            </w:r>
            <w:r w:rsidR="00F47B5B" w:rsidRPr="00F47B5B">
              <w:rPr>
                <w:sz w:val="24"/>
                <w:szCs w:val="24"/>
              </w:rPr>
              <w:t xml:space="preserve">Szervspecifikus modulok: </w:t>
            </w:r>
            <w:r w:rsidRPr="00F47B5B">
              <w:rPr>
                <w:sz w:val="24"/>
                <w:szCs w:val="24"/>
              </w:rPr>
              <w:t>Célzott hasi és kismedencei célzott ultrahangvizsgálat</w:t>
            </w:r>
          </w:p>
        </w:tc>
      </w:tr>
      <w:tr w:rsidR="003F0DD1" w:rsidRPr="00403737" w14:paraId="0256BBA2" w14:textId="77777777" w:rsidTr="005E7F3A">
        <w:trPr>
          <w:trHeight w:val="45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9212F8" w14:textId="77777777" w:rsidR="003F0DD1" w:rsidRPr="00CA4B2B" w:rsidRDefault="003F0DD1" w:rsidP="003F0DD1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11.hét 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B307" w14:textId="77777777" w:rsidR="003F0DD1" w:rsidRPr="006F1B53" w:rsidRDefault="005E7F3A" w:rsidP="003F0DD1">
            <w:pPr>
              <w:jc w:val="both"/>
              <w:rPr>
                <w:sz w:val="24"/>
              </w:rPr>
            </w:pPr>
            <w:r>
              <w:rPr>
                <w:sz w:val="24"/>
              </w:rPr>
              <w:t>POCUS:</w:t>
            </w:r>
            <w:r w:rsidR="00F47B5B" w:rsidRPr="00F47B5B">
              <w:rPr>
                <w:sz w:val="24"/>
                <w:szCs w:val="24"/>
              </w:rPr>
              <w:t xml:space="preserve"> Szervspecifikus modulok:</w:t>
            </w:r>
            <w:r w:rsidR="00F47B5B">
              <w:rPr>
                <w:sz w:val="24"/>
                <w:szCs w:val="24"/>
              </w:rPr>
              <w:t xml:space="preserve"> sürgősségi beavatkozások ultrahangos támogatása</w:t>
            </w:r>
          </w:p>
        </w:tc>
      </w:tr>
      <w:tr w:rsidR="003F0DD1" w:rsidRPr="00403737" w14:paraId="7D2A7EE0" w14:textId="77777777" w:rsidTr="005E7F3A">
        <w:trPr>
          <w:trHeight w:val="45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68F025" w14:textId="77777777" w:rsidR="003F0DD1" w:rsidRPr="00CA4B2B" w:rsidRDefault="003F0DD1" w:rsidP="003F0DD1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12.hét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A16C" w14:textId="77777777" w:rsidR="003F0DD1" w:rsidRPr="006F1B53" w:rsidRDefault="005E7F3A" w:rsidP="003F0DD1">
            <w:pPr>
              <w:jc w:val="both"/>
              <w:rPr>
                <w:sz w:val="24"/>
              </w:rPr>
            </w:pPr>
            <w:r>
              <w:rPr>
                <w:sz w:val="24"/>
              </w:rPr>
              <w:t>POCUS:</w:t>
            </w:r>
            <w:r w:rsidR="00F47B5B">
              <w:rPr>
                <w:sz w:val="24"/>
              </w:rPr>
              <w:t xml:space="preserve"> Tünetcsoportok ultrahang diagnosztikája: </w:t>
            </w:r>
            <w:r w:rsidR="00F47B5B" w:rsidRPr="00F47B5B">
              <w:rPr>
                <w:sz w:val="24"/>
              </w:rPr>
              <w:t>Sokkállapotokban végzett célzott ultrahangvizsgálat</w:t>
            </w:r>
          </w:p>
        </w:tc>
      </w:tr>
      <w:tr w:rsidR="003F0DD1" w:rsidRPr="00403737" w14:paraId="29D15E40" w14:textId="77777777" w:rsidTr="005E7F3A">
        <w:trPr>
          <w:trHeight w:val="45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5264FD" w14:textId="77777777" w:rsidR="003F0DD1" w:rsidRDefault="003F0DD1" w:rsidP="003F0DD1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hét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2371" w14:textId="77777777" w:rsidR="003F0DD1" w:rsidRPr="006F1B53" w:rsidRDefault="005E7F3A" w:rsidP="003F0DD1">
            <w:pPr>
              <w:jc w:val="both"/>
              <w:rPr>
                <w:sz w:val="24"/>
              </w:rPr>
            </w:pPr>
            <w:r>
              <w:rPr>
                <w:sz w:val="24"/>
              </w:rPr>
              <w:t>POCUS:</w:t>
            </w:r>
            <w:r w:rsidR="00F47B5B">
              <w:rPr>
                <w:sz w:val="24"/>
              </w:rPr>
              <w:t xml:space="preserve"> Tünetcsoportok ultrahang diagnosztikája:</w:t>
            </w:r>
            <w:r w:rsidR="00F47B5B">
              <w:t xml:space="preserve"> </w:t>
            </w:r>
            <w:r w:rsidR="00F47B5B" w:rsidRPr="00F47B5B">
              <w:rPr>
                <w:sz w:val="24"/>
              </w:rPr>
              <w:t>Trauma miatt végzett célzott ultrahangvizsgálat</w:t>
            </w:r>
          </w:p>
        </w:tc>
      </w:tr>
      <w:tr w:rsidR="003F0DD1" w:rsidRPr="00403737" w14:paraId="23423003" w14:textId="77777777" w:rsidTr="005E7F3A">
        <w:trPr>
          <w:trHeight w:val="45"/>
        </w:trPr>
        <w:tc>
          <w:tcPr>
            <w:tcW w:w="11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197991" w14:textId="77777777" w:rsidR="003F0DD1" w:rsidRDefault="003F0DD1" w:rsidP="003F0DD1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hét</w:t>
            </w: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91FB" w14:textId="77777777" w:rsidR="003F0DD1" w:rsidRPr="006F1B53" w:rsidRDefault="005E7F3A" w:rsidP="003F0DD1">
            <w:pPr>
              <w:jc w:val="both"/>
              <w:rPr>
                <w:sz w:val="24"/>
              </w:rPr>
            </w:pPr>
            <w:r>
              <w:rPr>
                <w:sz w:val="24"/>
              </w:rPr>
              <w:t>POCUS:</w:t>
            </w:r>
            <w:r w:rsidR="00F47B5B">
              <w:rPr>
                <w:sz w:val="24"/>
              </w:rPr>
              <w:t xml:space="preserve"> Tünetcsoportok ultrahang diagnosztikája:</w:t>
            </w:r>
            <w:r w:rsidR="00F47B5B">
              <w:t xml:space="preserve"> </w:t>
            </w:r>
            <w:r w:rsidR="00F47B5B" w:rsidRPr="00F47B5B">
              <w:rPr>
                <w:sz w:val="24"/>
              </w:rPr>
              <w:t>Fulladás diﬀerenciáldiagnosztikája miatt végzett célzott ultrahangvizsgálat</w:t>
            </w:r>
          </w:p>
        </w:tc>
      </w:tr>
      <w:tr w:rsidR="003F0DD1" w:rsidRPr="00403737" w14:paraId="43D77217" w14:textId="77777777" w:rsidTr="002A4B83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38B729" w14:textId="77777777" w:rsidR="003F0DD1" w:rsidRPr="00C774F7" w:rsidRDefault="003F0DD1" w:rsidP="003F0DD1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2015E5">
              <w:rPr>
                <w:sz w:val="22"/>
                <w:szCs w:val="22"/>
              </w:rPr>
              <w:t xml:space="preserve">A </w:t>
            </w:r>
            <w:r w:rsidRPr="002015E5">
              <w:rPr>
                <w:b/>
                <w:sz w:val="22"/>
                <w:szCs w:val="22"/>
              </w:rPr>
              <w:t>2-5</w:t>
            </w:r>
            <w:r w:rsidRPr="002015E5">
              <w:rPr>
                <w:sz w:val="22"/>
                <w:szCs w:val="22"/>
              </w:rPr>
              <w:t xml:space="preserve"> legfontosabb </w:t>
            </w:r>
            <w:r w:rsidRPr="002015E5">
              <w:rPr>
                <w:i/>
                <w:sz w:val="22"/>
                <w:szCs w:val="22"/>
              </w:rPr>
              <w:t>kötelező,</w:t>
            </w:r>
            <w:r w:rsidRPr="002015E5">
              <w:rPr>
                <w:sz w:val="22"/>
                <w:szCs w:val="22"/>
              </w:rPr>
              <w:t xml:space="preserve"> illetve </w:t>
            </w:r>
            <w:r w:rsidRPr="002015E5">
              <w:rPr>
                <w:i/>
                <w:sz w:val="22"/>
                <w:szCs w:val="22"/>
              </w:rPr>
              <w:t>ajánlott</w:t>
            </w:r>
            <w:r w:rsidRPr="002015E5">
              <w:rPr>
                <w:b/>
                <w:i/>
                <w:sz w:val="22"/>
                <w:szCs w:val="22"/>
              </w:rPr>
              <w:t xml:space="preserve"> </w:t>
            </w:r>
            <w:r w:rsidRPr="002015E5">
              <w:rPr>
                <w:b/>
                <w:sz w:val="22"/>
                <w:szCs w:val="22"/>
              </w:rPr>
              <w:t>irodalom</w:t>
            </w:r>
            <w:r w:rsidRPr="00C774F7">
              <w:rPr>
                <w:b/>
                <w:sz w:val="22"/>
                <w:szCs w:val="22"/>
              </w:rPr>
              <w:t xml:space="preserve"> </w:t>
            </w:r>
            <w:r w:rsidRPr="00C774F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3F0DD1" w:rsidRPr="00403737" w14:paraId="2F248DFA" w14:textId="77777777" w:rsidTr="002A4B83"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40C029" w14:textId="77777777" w:rsidR="003F0DD1" w:rsidRPr="00371E11" w:rsidRDefault="003F0DD1" w:rsidP="003F0DD1">
            <w:pPr>
              <w:spacing w:after="160" w:line="276" w:lineRule="auto"/>
              <w:jc w:val="both"/>
              <w:rPr>
                <w:b/>
                <w:sz w:val="22"/>
                <w:szCs w:val="22"/>
                <w:lang w:val="en-GB" w:eastAsia="en-GB" w:bidi="en-GB"/>
              </w:rPr>
            </w:pPr>
            <w:r w:rsidRPr="00371E11">
              <w:rPr>
                <w:b/>
                <w:sz w:val="22"/>
                <w:szCs w:val="22"/>
                <w:lang w:val="en-GB" w:eastAsia="en-GB" w:bidi="en-GB"/>
              </w:rPr>
              <w:t>KÖTELEZŐ:</w:t>
            </w:r>
          </w:p>
          <w:p w14:paraId="3E18BCA3" w14:textId="77777777" w:rsidR="003F0DD1" w:rsidRDefault="00F47B5B" w:rsidP="003B0211">
            <w:pPr>
              <w:pStyle w:val="Listaszerbekezds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 w:eastAsia="en-GB" w:bidi="en-GB"/>
              </w:rPr>
            </w:pPr>
            <w:r w:rsidRPr="00F47B5B">
              <w:rPr>
                <w:sz w:val="22"/>
                <w:szCs w:val="22"/>
                <w:lang w:val="en-GB" w:eastAsia="en-GB" w:bidi="en-GB"/>
              </w:rPr>
              <w:t>Barta Miklós, Mesterházi András (szerk.)</w:t>
            </w:r>
            <w:r w:rsidR="003F0DD1" w:rsidRPr="00F47B5B">
              <w:rPr>
                <w:sz w:val="22"/>
                <w:szCs w:val="22"/>
                <w:lang w:val="en-GB" w:eastAsia="en-GB" w:bidi="en-GB"/>
              </w:rPr>
              <w:t xml:space="preserve"> (</w:t>
            </w:r>
            <w:r>
              <w:rPr>
                <w:sz w:val="22"/>
                <w:szCs w:val="22"/>
                <w:lang w:val="en-GB" w:eastAsia="en-GB" w:bidi="en-GB"/>
              </w:rPr>
              <w:t xml:space="preserve">MSOTKE, </w:t>
            </w:r>
            <w:r w:rsidR="003F0DD1" w:rsidRPr="00F47B5B">
              <w:rPr>
                <w:sz w:val="22"/>
                <w:szCs w:val="22"/>
                <w:lang w:val="en-GB" w:eastAsia="en-GB" w:bidi="en-GB"/>
              </w:rPr>
              <w:t>201</w:t>
            </w:r>
            <w:r w:rsidRPr="00F47B5B">
              <w:rPr>
                <w:sz w:val="22"/>
                <w:szCs w:val="22"/>
                <w:lang w:val="en-GB" w:eastAsia="en-GB" w:bidi="en-GB"/>
              </w:rPr>
              <w:t>6</w:t>
            </w:r>
            <w:r w:rsidR="003F0DD1" w:rsidRPr="00F47B5B">
              <w:rPr>
                <w:sz w:val="22"/>
                <w:szCs w:val="22"/>
                <w:lang w:val="en-GB" w:eastAsia="en-GB" w:bidi="en-GB"/>
              </w:rPr>
              <w:t xml:space="preserve">) </w:t>
            </w:r>
            <w:r w:rsidRPr="00F47B5B">
              <w:rPr>
                <w:sz w:val="22"/>
                <w:szCs w:val="22"/>
                <w:lang w:val="en-GB" w:eastAsia="en-GB" w:bidi="en-GB"/>
              </w:rPr>
              <w:t>Sürgősségi és kritikus állapotú betegek célzott ultrahangdiagnosztikája (PoCUS).</w:t>
            </w:r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r w:rsidRPr="00F47B5B">
              <w:rPr>
                <w:sz w:val="22"/>
                <w:szCs w:val="22"/>
                <w:lang w:val="en-GB" w:eastAsia="en-GB" w:bidi="en-GB"/>
              </w:rPr>
              <w:t>Kompendium</w:t>
            </w:r>
            <w:r w:rsidR="003F0DD1" w:rsidRPr="00F47B5B">
              <w:rPr>
                <w:sz w:val="22"/>
                <w:szCs w:val="22"/>
                <w:lang w:val="en-GB" w:eastAsia="en-GB" w:bidi="en-GB"/>
              </w:rPr>
              <w:t>:</w:t>
            </w:r>
            <w:r w:rsidR="00417365">
              <w:rPr>
                <w:sz w:val="22"/>
                <w:szCs w:val="22"/>
                <w:lang w:val="en-GB" w:eastAsia="en-GB" w:bidi="en-GB"/>
              </w:rPr>
              <w:t xml:space="preserve"> online elérhető: </w:t>
            </w:r>
            <w:hyperlink r:id="rId11" w:history="1">
              <w:r w:rsidRPr="00381DA7">
                <w:rPr>
                  <w:rStyle w:val="Hiperhivatkozs"/>
                  <w:sz w:val="22"/>
                  <w:szCs w:val="22"/>
                  <w:lang w:val="en-GB" w:eastAsia="en-GB" w:bidi="en-GB"/>
                </w:rPr>
                <w:t>http://msotke.hu/2018/05/27/pocus-tankonyv-letoltese/</w:t>
              </w:r>
            </w:hyperlink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</w:p>
          <w:p w14:paraId="56098797" w14:textId="77777777" w:rsidR="00417365" w:rsidRPr="00F47B5B" w:rsidRDefault="00417365" w:rsidP="003B0211">
            <w:pPr>
              <w:pStyle w:val="Listaszerbekezds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 w:eastAsia="en-GB" w:bidi="en-GB"/>
              </w:rPr>
            </w:pPr>
            <w:r>
              <w:rPr>
                <w:sz w:val="22"/>
                <w:szCs w:val="22"/>
                <w:lang w:val="en-GB" w:eastAsia="en-GB" w:bidi="en-GB"/>
              </w:rPr>
              <w:t xml:space="preserve">Fráter Lóránd (2010) Radiológia; online elérhető: </w:t>
            </w:r>
            <w:hyperlink r:id="rId12" w:history="1">
              <w:r w:rsidRPr="00381DA7">
                <w:rPr>
                  <w:rStyle w:val="Hiperhivatkozs"/>
                  <w:sz w:val="22"/>
                  <w:szCs w:val="22"/>
                  <w:lang w:val="en-GB" w:eastAsia="en-GB" w:bidi="en-GB"/>
                </w:rPr>
                <w:t>https://www.tankonyvtar.hu/hu/tartalom/tamop425/2011_0001_524_Radiologia/index.html</w:t>
              </w:r>
            </w:hyperlink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</w:p>
          <w:p w14:paraId="46A3858B" w14:textId="77777777" w:rsidR="003B0211" w:rsidRPr="003B0211" w:rsidRDefault="003B0211" w:rsidP="003B0211">
            <w:pPr>
              <w:pStyle w:val="Listaszerbekezds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 w:eastAsia="en-GB" w:bidi="en-GB"/>
              </w:rPr>
            </w:pPr>
            <w:r w:rsidRPr="003B0211">
              <w:rPr>
                <w:sz w:val="22"/>
                <w:szCs w:val="22"/>
                <w:lang w:val="en-GB" w:eastAsia="en-GB" w:bidi="en-GB"/>
              </w:rPr>
              <w:t>Betlehem József (szerk.): A sürgősségi ellátás elméleti és gyakorlati alapjai (Medicina Kiadó, Budapest, XXXX) ISBN szám: megjelenés alatt</w:t>
            </w:r>
          </w:p>
          <w:p w14:paraId="0A470F99" w14:textId="77777777" w:rsidR="003B0211" w:rsidRPr="003B0211" w:rsidRDefault="003B0211" w:rsidP="003B0211">
            <w:pPr>
              <w:pStyle w:val="Listaszerbekezds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 w:eastAsia="en-GB" w:bidi="en-GB"/>
              </w:rPr>
            </w:pPr>
            <w:r w:rsidRPr="003B0211">
              <w:rPr>
                <w:sz w:val="22"/>
                <w:szCs w:val="22"/>
                <w:lang w:val="en-GB" w:eastAsia="en-GB" w:bidi="en-GB"/>
              </w:rPr>
              <w:t xml:space="preserve">Oláh András (szerk.): Az ápolástudomány tankönyve (Medicina Kiadó, Budapest, XXXX) ISBN szám: megjelenés alatt </w:t>
            </w:r>
          </w:p>
          <w:p w14:paraId="632E1BD9" w14:textId="77777777" w:rsidR="003B0211" w:rsidRPr="003B0211" w:rsidRDefault="003B0211" w:rsidP="003B0211">
            <w:pPr>
              <w:pStyle w:val="Listaszerbekezds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 w:eastAsia="en-GB" w:bidi="en-GB"/>
              </w:rPr>
            </w:pPr>
            <w:r w:rsidRPr="003B0211">
              <w:rPr>
                <w:sz w:val="22"/>
                <w:szCs w:val="22"/>
                <w:lang w:val="en-GB" w:eastAsia="en-GB" w:bidi="en-GB"/>
              </w:rPr>
              <w:t>Szabó Antal (szerk.): Klinikai laboratóriumi vizsgálatok és paraméterek (Semmelweis Kiadó, Bu</w:t>
            </w:r>
            <w:r>
              <w:rPr>
                <w:sz w:val="22"/>
                <w:szCs w:val="22"/>
                <w:lang w:val="en-GB" w:eastAsia="en-GB" w:bidi="en-GB"/>
              </w:rPr>
              <w:t xml:space="preserve"> </w:t>
            </w:r>
            <w:r w:rsidRPr="003B0211">
              <w:rPr>
                <w:sz w:val="22"/>
                <w:szCs w:val="22"/>
                <w:lang w:val="en-GB" w:eastAsia="en-GB" w:bidi="en-GB"/>
              </w:rPr>
              <w:t>dapest, 2012) ISBN szám: 978 963 987 975 1</w:t>
            </w:r>
          </w:p>
          <w:p w14:paraId="7AEF47AB" w14:textId="77777777" w:rsidR="003B0211" w:rsidRDefault="003B0211" w:rsidP="003B0211">
            <w:pPr>
              <w:pStyle w:val="Listaszerbekezds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 w:eastAsia="en-GB" w:bidi="en-GB"/>
              </w:rPr>
            </w:pPr>
            <w:r>
              <w:rPr>
                <w:sz w:val="22"/>
                <w:szCs w:val="22"/>
                <w:lang w:val="en-GB" w:eastAsia="en-GB" w:bidi="en-GB"/>
              </w:rPr>
              <w:t>Oktató kiadott óravázlatai</w:t>
            </w:r>
          </w:p>
          <w:p w14:paraId="489D6448" w14:textId="77777777" w:rsidR="003B0211" w:rsidRDefault="003B0211" w:rsidP="003B0211">
            <w:pPr>
              <w:jc w:val="both"/>
              <w:rPr>
                <w:sz w:val="22"/>
                <w:szCs w:val="22"/>
                <w:lang w:val="en-GB" w:eastAsia="en-GB" w:bidi="en-GB"/>
              </w:rPr>
            </w:pPr>
          </w:p>
          <w:p w14:paraId="591CED0E" w14:textId="77777777" w:rsidR="003B0211" w:rsidRPr="003B0211" w:rsidRDefault="003B0211" w:rsidP="003B0211">
            <w:pPr>
              <w:jc w:val="both"/>
              <w:rPr>
                <w:b/>
                <w:sz w:val="22"/>
                <w:szCs w:val="22"/>
                <w:lang w:val="en-GB" w:eastAsia="en-GB" w:bidi="en-GB"/>
              </w:rPr>
            </w:pPr>
            <w:r w:rsidRPr="003B0211">
              <w:rPr>
                <w:b/>
                <w:sz w:val="22"/>
                <w:szCs w:val="22"/>
                <w:lang w:val="en-GB" w:eastAsia="en-GB" w:bidi="en-GB"/>
              </w:rPr>
              <w:t>AJÁNLOTT:</w:t>
            </w:r>
          </w:p>
          <w:p w14:paraId="45BF1631" w14:textId="77777777" w:rsidR="003B0211" w:rsidRPr="003B0211" w:rsidRDefault="003B0211" w:rsidP="003B0211">
            <w:pPr>
              <w:jc w:val="both"/>
              <w:rPr>
                <w:sz w:val="22"/>
                <w:szCs w:val="22"/>
                <w:lang w:val="en-GB" w:eastAsia="en-GB" w:bidi="en-GB"/>
              </w:rPr>
            </w:pPr>
          </w:p>
          <w:p w14:paraId="4EC3230D" w14:textId="77777777" w:rsidR="003F0DD1" w:rsidRPr="00BD7DF4" w:rsidRDefault="003B0211" w:rsidP="003B0211">
            <w:pPr>
              <w:pStyle w:val="Listaszerbekezds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-GB" w:eastAsia="en-GB" w:bidi="en-GB"/>
              </w:rPr>
            </w:pPr>
            <w:r w:rsidRPr="003B0211">
              <w:rPr>
                <w:sz w:val="22"/>
                <w:szCs w:val="22"/>
                <w:lang w:val="en-GB" w:eastAsia="en-GB" w:bidi="en-GB"/>
              </w:rPr>
              <w:t>Fráter Lóránd: Képalkotó eljárások (Medicina Kiadó, Budapest, 2010) ISBN szám: 978 963 226 339 7</w:t>
            </w:r>
          </w:p>
        </w:tc>
      </w:tr>
      <w:tr w:rsidR="003F0DD1" w:rsidRPr="00403737" w14:paraId="274CA7BE" w14:textId="77777777" w:rsidTr="002A4B83">
        <w:tc>
          <w:tcPr>
            <w:tcW w:w="881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678B03" w14:textId="77777777" w:rsidR="003F0DD1" w:rsidRPr="00FA342E" w:rsidRDefault="003F0DD1" w:rsidP="003F0DD1">
            <w:pPr>
              <w:suppressAutoHyphens/>
              <w:jc w:val="both"/>
              <w:rPr>
                <w:sz w:val="22"/>
                <w:szCs w:val="22"/>
              </w:rPr>
            </w:pPr>
            <w:r w:rsidRPr="00FA342E">
              <w:rPr>
                <w:sz w:val="22"/>
                <w:szCs w:val="22"/>
              </w:rPr>
              <w:t xml:space="preserve">Azoknak az </w:t>
            </w:r>
            <w:r w:rsidRPr="00DB37B6">
              <w:rPr>
                <w:b/>
                <w:sz w:val="22"/>
                <w:szCs w:val="22"/>
              </w:rPr>
              <w:t>előírt</w:t>
            </w:r>
            <w:r w:rsidRPr="00DB37B6">
              <w:rPr>
                <w:sz w:val="22"/>
                <w:szCs w:val="22"/>
              </w:rPr>
              <w:t xml:space="preserve"> s</w:t>
            </w:r>
            <w:r w:rsidRPr="00DB37B6">
              <w:rPr>
                <w:b/>
                <w:sz w:val="22"/>
                <w:szCs w:val="22"/>
              </w:rPr>
              <w:t>zakmai kompetenciáknak,</w:t>
            </w:r>
            <w:r w:rsidRPr="00FA342E">
              <w:rPr>
                <w:b/>
                <w:sz w:val="22"/>
                <w:szCs w:val="22"/>
              </w:rPr>
              <w:t xml:space="preserve"> kompetencia-elemeknek</w:t>
            </w:r>
            <w:r w:rsidRPr="00FA342E">
              <w:rPr>
                <w:sz w:val="21"/>
                <w:szCs w:val="21"/>
              </w:rPr>
              <w:t xml:space="preserve"> </w:t>
            </w:r>
            <w:r w:rsidRPr="00FA342E">
              <w:rPr>
                <w:i/>
              </w:rPr>
              <w:t>(tudás, képesség</w:t>
            </w:r>
            <w:r w:rsidRPr="00FA342E">
              <w:t xml:space="preserve"> stb., </w:t>
            </w:r>
            <w:r w:rsidRPr="00FA342E">
              <w:rPr>
                <w:i/>
              </w:rPr>
              <w:t xml:space="preserve">KKK </w:t>
            </w:r>
            <w:r w:rsidRPr="00FA342E">
              <w:rPr>
                <w:b/>
                <w:i/>
              </w:rPr>
              <w:t>7.</w:t>
            </w:r>
            <w:r w:rsidRPr="00FA342E">
              <w:rPr>
                <w:i/>
              </w:rPr>
              <w:t xml:space="preserve"> pont</w:t>
            </w:r>
            <w:r w:rsidRPr="00FA342E">
              <w:t xml:space="preserve">) </w:t>
            </w:r>
            <w:r w:rsidRPr="00FA342E">
              <w:rPr>
                <w:sz w:val="22"/>
                <w:szCs w:val="22"/>
              </w:rPr>
              <w:t xml:space="preserve">a felsorolása, </w:t>
            </w:r>
            <w:r w:rsidRPr="00FA342E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3F0DD1" w:rsidRPr="00403737" w14:paraId="48CEB134" w14:textId="77777777" w:rsidTr="002A4B83">
        <w:trPr>
          <w:trHeight w:val="296"/>
        </w:trPr>
        <w:tc>
          <w:tcPr>
            <w:tcW w:w="8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CBD999" w14:textId="77777777" w:rsidR="003F0DD1" w:rsidRPr="00403737" w:rsidRDefault="003F0DD1" w:rsidP="003F0DD1">
            <w:pPr>
              <w:suppressAutoHyphens/>
              <w:ind w:left="34"/>
              <w:rPr>
                <w:i/>
              </w:rPr>
            </w:pPr>
          </w:p>
          <w:p w14:paraId="2167978E" w14:textId="7D625680" w:rsidR="003F0DD1" w:rsidRPr="00725231" w:rsidRDefault="003F0DD1" w:rsidP="00725231">
            <w:pPr>
              <w:pStyle w:val="Listaszerbekezds"/>
              <w:numPr>
                <w:ilvl w:val="0"/>
                <w:numId w:val="9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725231">
              <w:rPr>
                <w:b/>
                <w:sz w:val="22"/>
                <w:szCs w:val="22"/>
              </w:rPr>
              <w:t>tudása</w:t>
            </w:r>
          </w:p>
          <w:p w14:paraId="1E2DD551" w14:textId="77777777" w:rsidR="009E799D" w:rsidRPr="009E799D" w:rsidRDefault="009E799D" w:rsidP="009E799D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9E799D">
              <w:rPr>
                <w:sz w:val="22"/>
                <w:szCs w:val="22"/>
              </w:rPr>
              <w:t>Ismeri a prehospitális és hospitális ügyeleti és sürgősségi ellátásban használatos korszerű eszközöket, műszereket, azok biztonságos alkalmazását.</w:t>
            </w:r>
          </w:p>
          <w:p w14:paraId="5F5D36C7" w14:textId="77777777" w:rsidR="009E799D" w:rsidRPr="009E799D" w:rsidRDefault="009E799D" w:rsidP="009E799D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9E799D">
              <w:rPr>
                <w:sz w:val="22"/>
                <w:szCs w:val="22"/>
              </w:rPr>
              <w:t>Ismeri a sürgősségi ellátást igénylő kórfolyamatok diagnosztikai lehetőségeit</w:t>
            </w:r>
            <w:r>
              <w:rPr>
                <w:sz w:val="22"/>
                <w:szCs w:val="22"/>
              </w:rPr>
              <w:t>.</w:t>
            </w:r>
          </w:p>
          <w:p w14:paraId="160B4C88" w14:textId="77777777" w:rsidR="003F0DD1" w:rsidRPr="009E799D" w:rsidRDefault="009E799D" w:rsidP="009E799D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9E799D">
              <w:rPr>
                <w:sz w:val="22"/>
                <w:szCs w:val="22"/>
              </w:rPr>
              <w:t>Ismeri a hazai és nemzetközi, sürgősségi ellátás szempontjából releváns ajánlásokat és protokollokat</w:t>
            </w:r>
          </w:p>
          <w:p w14:paraId="4A83C7E2" w14:textId="77777777" w:rsidR="003F0DD1" w:rsidRDefault="003F0DD1" w:rsidP="003F0DD1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14:paraId="3C981812" w14:textId="0DFE9223" w:rsidR="003F0DD1" w:rsidRPr="00725231" w:rsidRDefault="003F0DD1" w:rsidP="00725231">
            <w:pPr>
              <w:pStyle w:val="Listaszerbekezds"/>
              <w:numPr>
                <w:ilvl w:val="0"/>
                <w:numId w:val="9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725231">
              <w:rPr>
                <w:b/>
                <w:sz w:val="22"/>
                <w:szCs w:val="22"/>
              </w:rPr>
              <w:t>képességei</w:t>
            </w:r>
          </w:p>
          <w:p w14:paraId="31E044C1" w14:textId="77777777" w:rsidR="003F0DD1" w:rsidRPr="003F0DD1" w:rsidRDefault="003F0DD1" w:rsidP="009E799D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F0DD1">
              <w:rPr>
                <w:sz w:val="22"/>
                <w:szCs w:val="22"/>
              </w:rPr>
              <w:t>Képes a megszerzett ismeretek szakszerű alkalmazására valamennyi sürgősségi ellátást igénylő esetben a helyszínen, illetve a sürgősségi betegellátás rendszerében gyógyintézeti keretek között.</w:t>
            </w:r>
          </w:p>
          <w:p w14:paraId="03BA6E44" w14:textId="77777777" w:rsidR="009E799D" w:rsidRPr="009E799D" w:rsidRDefault="009E799D" w:rsidP="009E799D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9E799D">
              <w:rPr>
                <w:sz w:val="22"/>
                <w:szCs w:val="22"/>
              </w:rPr>
              <w:t>Képes a kórházi akut ellátói team tagjaként a hospitális sürgősségi ellátásra kompetenciájának megfelelően.</w:t>
            </w:r>
          </w:p>
          <w:p w14:paraId="2224EB7D" w14:textId="77777777" w:rsidR="009E799D" w:rsidRPr="009E799D" w:rsidRDefault="009E799D" w:rsidP="009E799D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9E799D">
              <w:rPr>
                <w:sz w:val="22"/>
                <w:szCs w:val="22"/>
              </w:rPr>
              <w:lastRenderedPageBreak/>
              <w:t>Képes a tudásának és problémamegoldó képességének önálló fejlesztésére, a szakirodalomban való tájékozódásra, a helyes tudományos következtetések levonására, az aktuális tudományos eredmények betegellátás során történő alkalmazására.</w:t>
            </w:r>
          </w:p>
          <w:p w14:paraId="7D6AEA81" w14:textId="77777777" w:rsidR="003F0DD1" w:rsidRDefault="000E483D" w:rsidP="001134A1">
            <w:pPr>
              <w:pStyle w:val="Listaszerbekezds"/>
              <w:numPr>
                <w:ilvl w:val="0"/>
                <w:numId w:val="5"/>
              </w:numPr>
              <w:suppressAutoHyphens/>
              <w:jc w:val="both"/>
              <w:rPr>
                <w:sz w:val="22"/>
                <w:szCs w:val="22"/>
              </w:rPr>
            </w:pPr>
            <w:r w:rsidRPr="000E483D">
              <w:rPr>
                <w:sz w:val="22"/>
                <w:szCs w:val="22"/>
              </w:rPr>
              <w:t>Önállóan képes a sürgősségi ellátást jellemző csoportdiagnózis megalkotására.</w:t>
            </w:r>
          </w:p>
          <w:p w14:paraId="09B35DBD" w14:textId="77777777" w:rsidR="000E483D" w:rsidRPr="000E483D" w:rsidRDefault="000E483D" w:rsidP="000E483D">
            <w:pPr>
              <w:pStyle w:val="Listaszerbekezds"/>
              <w:numPr>
                <w:ilvl w:val="0"/>
                <w:numId w:val="5"/>
              </w:numPr>
              <w:suppressAutoHyphens/>
              <w:jc w:val="both"/>
              <w:rPr>
                <w:sz w:val="22"/>
                <w:szCs w:val="22"/>
              </w:rPr>
            </w:pPr>
            <w:r w:rsidRPr="000E483D">
              <w:rPr>
                <w:sz w:val="22"/>
                <w:szCs w:val="22"/>
              </w:rPr>
              <w:t>Ennek érdekében a sürgősségi eszköz nélküli, eszközös (így az invazív, laboratóriumi és képalkotó vizsgálatok) indikációs körét felállítja, szakszerűen kivitelezi vagy elvégezteti azokat, a vizsgálatok leleteit önállóan értékeli és értelmezi, az eredményeket szintetizálja.</w:t>
            </w:r>
          </w:p>
          <w:p w14:paraId="411FCD56" w14:textId="77777777" w:rsidR="000E483D" w:rsidRDefault="000E483D" w:rsidP="000E483D">
            <w:pPr>
              <w:pStyle w:val="Listaszerbekezds"/>
              <w:numPr>
                <w:ilvl w:val="0"/>
                <w:numId w:val="5"/>
              </w:numPr>
              <w:suppressAutoHyphens/>
              <w:jc w:val="both"/>
              <w:rPr>
                <w:sz w:val="22"/>
                <w:szCs w:val="22"/>
              </w:rPr>
            </w:pPr>
            <w:r w:rsidRPr="000E483D">
              <w:rPr>
                <w:sz w:val="22"/>
                <w:szCs w:val="22"/>
              </w:rPr>
              <w:t>Felismerve kórismealkotó lehetőségeinek vagy képességeinek korlátait, szakmai felettesével, orvossal vagy szakorvossal - együttműködés keretében - konzultál, a konzultáció eredményét értelmezi és végrehajtja.</w:t>
            </w:r>
          </w:p>
          <w:p w14:paraId="7C15467D" w14:textId="77777777" w:rsidR="000E483D" w:rsidRDefault="000E483D" w:rsidP="000E483D">
            <w:pPr>
              <w:pStyle w:val="Listaszerbekezds"/>
              <w:numPr>
                <w:ilvl w:val="0"/>
                <w:numId w:val="5"/>
              </w:numPr>
              <w:suppressAutoHyphens/>
              <w:jc w:val="both"/>
              <w:rPr>
                <w:sz w:val="22"/>
                <w:szCs w:val="22"/>
              </w:rPr>
            </w:pPr>
            <w:r w:rsidRPr="000E483D">
              <w:rPr>
                <w:sz w:val="22"/>
                <w:szCs w:val="22"/>
              </w:rPr>
              <w:t>Önállóan értékeli az artériás vérgáz vizsgálat eredményét, a korrekció szükségességét és annak mértékét.</w:t>
            </w:r>
          </w:p>
          <w:p w14:paraId="573E18FA" w14:textId="77777777" w:rsidR="000E483D" w:rsidRPr="003F0DD1" w:rsidRDefault="000E483D" w:rsidP="000E483D">
            <w:pPr>
              <w:pStyle w:val="Listaszerbekezds"/>
              <w:numPr>
                <w:ilvl w:val="0"/>
                <w:numId w:val="5"/>
              </w:numPr>
              <w:suppressAutoHyphens/>
              <w:jc w:val="both"/>
              <w:rPr>
                <w:sz w:val="22"/>
                <w:szCs w:val="22"/>
              </w:rPr>
            </w:pPr>
            <w:r w:rsidRPr="000E483D">
              <w:rPr>
                <w:sz w:val="22"/>
                <w:szCs w:val="22"/>
              </w:rPr>
              <w:t>Kompetenciájának megfelelő fizikális, illetve eszközös vizsgálatot végez, használja az ágymelletti diagnosztikát, értékeli az annak során szerzett adatokat.</w:t>
            </w:r>
          </w:p>
          <w:p w14:paraId="04511A7F" w14:textId="77777777" w:rsidR="003F0DD1" w:rsidRPr="00163E7D" w:rsidRDefault="003F0DD1" w:rsidP="003F0DD1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14:paraId="36722E4A" w14:textId="5E33E66F" w:rsidR="003F0DD1" w:rsidRPr="00725231" w:rsidRDefault="003F0DD1" w:rsidP="00725231">
            <w:pPr>
              <w:pStyle w:val="Listaszerbekezds"/>
              <w:numPr>
                <w:ilvl w:val="0"/>
                <w:numId w:val="9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725231">
              <w:rPr>
                <w:b/>
                <w:sz w:val="22"/>
                <w:szCs w:val="22"/>
              </w:rPr>
              <w:t>attitűd</w:t>
            </w:r>
          </w:p>
          <w:p w14:paraId="5566908B" w14:textId="77777777" w:rsidR="003F0DD1" w:rsidRPr="00335FD5" w:rsidRDefault="003F0DD1" w:rsidP="003F0DD1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Munkája során betartja az egészségügyi dolgozókra vonatkozó kötelezettségeket, és felismeri felelősségének határait.</w:t>
            </w:r>
          </w:p>
          <w:p w14:paraId="5AC3FF28" w14:textId="77777777" w:rsidR="003F0DD1" w:rsidRPr="00335FD5" w:rsidRDefault="003F0DD1" w:rsidP="003F0DD1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Értékelni tud lehetőségeket, mérlegelni tud kockázatokat, alternatívákat és következményeket, képes kompromisszumos megoldásokra.</w:t>
            </w:r>
          </w:p>
          <w:p w14:paraId="2C20997E" w14:textId="77777777" w:rsidR="003F0DD1" w:rsidRPr="00335FD5" w:rsidRDefault="003F0DD1" w:rsidP="003F0DD1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Nyitott és fogékony az egészség- és orvostudomány tudományosan bizonyított szakmai alapjainak megismerésére és alkalmazására.</w:t>
            </w:r>
          </w:p>
          <w:p w14:paraId="79AD4931" w14:textId="77777777" w:rsidR="003F0DD1" w:rsidRPr="00335FD5" w:rsidRDefault="003F0DD1" w:rsidP="003F0DD1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Vállalja a szakismeretek széles körben történő terjesztését (public notification), az egészségpropagandát, a betegtájékoztatást.</w:t>
            </w:r>
          </w:p>
          <w:p w14:paraId="07DDD584" w14:textId="77777777" w:rsidR="003F0DD1" w:rsidRDefault="003F0DD1" w:rsidP="003F0DD1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14:paraId="6454CE0A" w14:textId="23BDC96D" w:rsidR="003F0DD1" w:rsidRPr="00725231" w:rsidRDefault="003F0DD1" w:rsidP="00725231">
            <w:pPr>
              <w:pStyle w:val="Listaszerbekezds"/>
              <w:numPr>
                <w:ilvl w:val="0"/>
                <w:numId w:val="9"/>
              </w:numPr>
              <w:tabs>
                <w:tab w:val="left" w:pos="317"/>
              </w:tabs>
              <w:suppressAutoHyphens/>
              <w:rPr>
                <w:b/>
                <w:sz w:val="22"/>
                <w:szCs w:val="22"/>
              </w:rPr>
            </w:pPr>
            <w:r w:rsidRPr="00725231">
              <w:rPr>
                <w:b/>
                <w:sz w:val="22"/>
                <w:szCs w:val="22"/>
              </w:rPr>
              <w:t>autonómia és felelősség</w:t>
            </w:r>
          </w:p>
          <w:p w14:paraId="24715277" w14:textId="77777777" w:rsidR="003F0DD1" w:rsidRPr="00335FD5" w:rsidRDefault="003F0DD1" w:rsidP="003F0DD1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Szakmai fejlődésének tudatos és felelős irányítója, hivatását felelősen, tudományos és gyakorlati megalapozottsággal képviseli.</w:t>
            </w:r>
          </w:p>
          <w:p w14:paraId="2A756A3C" w14:textId="77777777" w:rsidR="003F0DD1" w:rsidRDefault="003F0DD1" w:rsidP="003F0DD1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Felelősen cselekszik sürgős szükség esetén.</w:t>
            </w:r>
          </w:p>
          <w:p w14:paraId="757952D1" w14:textId="77777777" w:rsidR="000E483D" w:rsidRPr="00335FD5" w:rsidRDefault="000E483D" w:rsidP="003F0DD1">
            <w:pPr>
              <w:pStyle w:val="Listaszerbekezds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0E483D">
              <w:rPr>
                <w:sz w:val="22"/>
                <w:szCs w:val="22"/>
              </w:rPr>
              <w:t>A helyszíni ellátás keretében önállóan, kórházi körülmények között a műszakvezető szakorvossal együttműködve dönt a beteg kórházi kezelésének szükségességéről, az otthonában szükséges további kezelésről, melyről a beteget részletesen tájékoztatja, az ezt kísérő dokumentációért felelősséget vállal.</w:t>
            </w:r>
          </w:p>
          <w:p w14:paraId="4A6AFFA8" w14:textId="77777777" w:rsidR="003F0DD1" w:rsidRPr="00335FD5" w:rsidRDefault="003F0DD1" w:rsidP="003F0DD1">
            <w:pPr>
              <w:pStyle w:val="Listaszerbekezds"/>
              <w:numPr>
                <w:ilvl w:val="0"/>
                <w:numId w:val="5"/>
              </w:num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  <w:r w:rsidRPr="00335FD5">
              <w:rPr>
                <w:sz w:val="22"/>
                <w:szCs w:val="22"/>
              </w:rPr>
              <w:t>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14:paraId="05DEA0E2" w14:textId="77777777" w:rsidR="003F0DD1" w:rsidRPr="00C774F7" w:rsidRDefault="003F0DD1" w:rsidP="00011C2E">
            <w:pPr>
              <w:tabs>
                <w:tab w:val="left" w:pos="317"/>
              </w:tabs>
              <w:suppressAutoHyphens/>
              <w:jc w:val="both"/>
            </w:pPr>
          </w:p>
        </w:tc>
      </w:tr>
    </w:tbl>
    <w:p w14:paraId="3C70ED16" w14:textId="77777777"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14:paraId="7970C279" w14:textId="77777777" w:rsidTr="00AC6CB2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14:paraId="53442C9F" w14:textId="77777777" w:rsidR="00E77819" w:rsidRPr="00403737" w:rsidRDefault="00E77819" w:rsidP="00243230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AE346F">
              <w:rPr>
                <w:b/>
                <w:sz w:val="22"/>
                <w:szCs w:val="22"/>
              </w:rPr>
              <w:t>Tantárgy felelőse</w:t>
            </w:r>
            <w:r w:rsidR="00AE346F" w:rsidRPr="00AE346F">
              <w:rPr>
                <w:b/>
                <w:sz w:val="22"/>
                <w:szCs w:val="22"/>
              </w:rPr>
              <w:t>: RADNAI Balázs, PhD, adjunktus</w:t>
            </w:r>
            <w:r w:rsidRPr="00AE346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77819" w:rsidRPr="00403737" w14:paraId="02CC9EBF" w14:textId="77777777" w:rsidTr="00AC6CB2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14:paraId="75E19FAE" w14:textId="77777777"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30">
              <w:rPr>
                <w:b/>
                <w:sz w:val="22"/>
                <w:szCs w:val="22"/>
                <w:highlight w:val="yellow"/>
              </w:rPr>
              <w:t xml:space="preserve">Tantárgy oktatásába bevont oktató(k), </w:t>
            </w:r>
            <w:r w:rsidRPr="00403737">
              <w:rPr>
                <w:sz w:val="22"/>
                <w:szCs w:val="22"/>
              </w:rPr>
              <w:t>ha van(nak)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14:paraId="6BB7BCA3" w14:textId="77777777"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EF2BDA8" w14:textId="77777777" w:rsidR="00E073D5" w:rsidRDefault="001E1074">
      <w:pPr>
        <w:rPr>
          <w:color w:val="FF0000"/>
          <w:sz w:val="22"/>
          <w:szCs w:val="22"/>
        </w:rPr>
      </w:pPr>
    </w:p>
    <w:p w14:paraId="4162BFAF" w14:textId="77777777" w:rsidR="001938CE" w:rsidRDefault="001938CE"/>
    <w:sectPr w:rsidR="001938CE" w:rsidSect="007A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D1EE6" w14:textId="77777777" w:rsidR="00A5024D" w:rsidRDefault="00A5024D" w:rsidP="00E77819">
      <w:r>
        <w:separator/>
      </w:r>
    </w:p>
  </w:endnote>
  <w:endnote w:type="continuationSeparator" w:id="0">
    <w:p w14:paraId="6F27A9DF" w14:textId="77777777" w:rsidR="00A5024D" w:rsidRDefault="00A5024D" w:rsidP="00E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FC11" w14:textId="77777777" w:rsidR="00A5024D" w:rsidRDefault="00A5024D" w:rsidP="00E77819">
      <w:r>
        <w:separator/>
      </w:r>
    </w:p>
  </w:footnote>
  <w:footnote w:type="continuationSeparator" w:id="0">
    <w:p w14:paraId="3C34EBBE" w14:textId="77777777" w:rsidR="00A5024D" w:rsidRDefault="00A5024D" w:rsidP="00E7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6552A"/>
    <w:multiLevelType w:val="hybridMultilevel"/>
    <w:tmpl w:val="F884A6D4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409C7084"/>
    <w:multiLevelType w:val="hybridMultilevel"/>
    <w:tmpl w:val="9212425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D3620"/>
    <w:multiLevelType w:val="hybridMultilevel"/>
    <w:tmpl w:val="83F49F5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5B7C8B"/>
    <w:multiLevelType w:val="hybridMultilevel"/>
    <w:tmpl w:val="648CE46A"/>
    <w:lvl w:ilvl="0" w:tplc="11E257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A6314"/>
    <w:multiLevelType w:val="hybridMultilevel"/>
    <w:tmpl w:val="0F884E64"/>
    <w:lvl w:ilvl="0" w:tplc="072CA21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4" w:hanging="360"/>
      </w:pPr>
    </w:lvl>
    <w:lvl w:ilvl="2" w:tplc="040E001B" w:tentative="1">
      <w:start w:val="1"/>
      <w:numFmt w:val="lowerRoman"/>
      <w:lvlText w:val="%3."/>
      <w:lvlJc w:val="right"/>
      <w:pPr>
        <w:ind w:left="1894" w:hanging="180"/>
      </w:pPr>
    </w:lvl>
    <w:lvl w:ilvl="3" w:tplc="040E000F" w:tentative="1">
      <w:start w:val="1"/>
      <w:numFmt w:val="decimal"/>
      <w:lvlText w:val="%4."/>
      <w:lvlJc w:val="left"/>
      <w:pPr>
        <w:ind w:left="2614" w:hanging="360"/>
      </w:pPr>
    </w:lvl>
    <w:lvl w:ilvl="4" w:tplc="040E0019" w:tentative="1">
      <w:start w:val="1"/>
      <w:numFmt w:val="lowerLetter"/>
      <w:lvlText w:val="%5."/>
      <w:lvlJc w:val="left"/>
      <w:pPr>
        <w:ind w:left="3334" w:hanging="360"/>
      </w:pPr>
    </w:lvl>
    <w:lvl w:ilvl="5" w:tplc="040E001B" w:tentative="1">
      <w:start w:val="1"/>
      <w:numFmt w:val="lowerRoman"/>
      <w:lvlText w:val="%6."/>
      <w:lvlJc w:val="right"/>
      <w:pPr>
        <w:ind w:left="4054" w:hanging="180"/>
      </w:pPr>
    </w:lvl>
    <w:lvl w:ilvl="6" w:tplc="040E000F" w:tentative="1">
      <w:start w:val="1"/>
      <w:numFmt w:val="decimal"/>
      <w:lvlText w:val="%7."/>
      <w:lvlJc w:val="left"/>
      <w:pPr>
        <w:ind w:left="4774" w:hanging="360"/>
      </w:pPr>
    </w:lvl>
    <w:lvl w:ilvl="7" w:tplc="040E0019" w:tentative="1">
      <w:start w:val="1"/>
      <w:numFmt w:val="lowerLetter"/>
      <w:lvlText w:val="%8."/>
      <w:lvlJc w:val="left"/>
      <w:pPr>
        <w:ind w:left="5494" w:hanging="360"/>
      </w:pPr>
    </w:lvl>
    <w:lvl w:ilvl="8" w:tplc="040E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CBB494C"/>
    <w:multiLevelType w:val="hybridMultilevel"/>
    <w:tmpl w:val="57EC4FFA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69A9588E"/>
    <w:multiLevelType w:val="hybridMultilevel"/>
    <w:tmpl w:val="25E06A02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6F3C3371"/>
    <w:multiLevelType w:val="hybridMultilevel"/>
    <w:tmpl w:val="8988A8F4"/>
    <w:lvl w:ilvl="0" w:tplc="11E257D6">
      <w:start w:val="1"/>
      <w:numFmt w:val="bullet"/>
      <w:lvlText w:val="-"/>
      <w:lvlJc w:val="left"/>
      <w:pPr>
        <w:ind w:left="677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11C2E"/>
    <w:rsid w:val="00016373"/>
    <w:rsid w:val="000728A7"/>
    <w:rsid w:val="0009237B"/>
    <w:rsid w:val="000C197F"/>
    <w:rsid w:val="000E483D"/>
    <w:rsid w:val="00141328"/>
    <w:rsid w:val="00147927"/>
    <w:rsid w:val="00153D9B"/>
    <w:rsid w:val="00157F62"/>
    <w:rsid w:val="001938CE"/>
    <w:rsid w:val="001E1074"/>
    <w:rsid w:val="001E3E7F"/>
    <w:rsid w:val="002015E5"/>
    <w:rsid w:val="0023562C"/>
    <w:rsid w:val="00243230"/>
    <w:rsid w:val="00273951"/>
    <w:rsid w:val="00284005"/>
    <w:rsid w:val="00294BD9"/>
    <w:rsid w:val="002A3C45"/>
    <w:rsid w:val="002A4B83"/>
    <w:rsid w:val="002E3C78"/>
    <w:rsid w:val="0032250B"/>
    <w:rsid w:val="00335FD5"/>
    <w:rsid w:val="003554D7"/>
    <w:rsid w:val="003571B2"/>
    <w:rsid w:val="00371E11"/>
    <w:rsid w:val="00386FCD"/>
    <w:rsid w:val="003B0211"/>
    <w:rsid w:val="003C1FF3"/>
    <w:rsid w:val="003E008B"/>
    <w:rsid w:val="003E249D"/>
    <w:rsid w:val="003F0DD1"/>
    <w:rsid w:val="003F4F53"/>
    <w:rsid w:val="00417365"/>
    <w:rsid w:val="0042593C"/>
    <w:rsid w:val="004B2240"/>
    <w:rsid w:val="004C5937"/>
    <w:rsid w:val="005175F9"/>
    <w:rsid w:val="00536BF8"/>
    <w:rsid w:val="0057740D"/>
    <w:rsid w:val="0058465D"/>
    <w:rsid w:val="00596C6E"/>
    <w:rsid w:val="005B42AF"/>
    <w:rsid w:val="005C3E94"/>
    <w:rsid w:val="005E7F3A"/>
    <w:rsid w:val="006706FC"/>
    <w:rsid w:val="006939EB"/>
    <w:rsid w:val="006A0CAC"/>
    <w:rsid w:val="006A3C32"/>
    <w:rsid w:val="006E32F4"/>
    <w:rsid w:val="006E631D"/>
    <w:rsid w:val="006E699A"/>
    <w:rsid w:val="007246DC"/>
    <w:rsid w:val="00725231"/>
    <w:rsid w:val="00796D12"/>
    <w:rsid w:val="007A2609"/>
    <w:rsid w:val="007A72CB"/>
    <w:rsid w:val="007B58B5"/>
    <w:rsid w:val="0080108E"/>
    <w:rsid w:val="00856C1C"/>
    <w:rsid w:val="0087079E"/>
    <w:rsid w:val="008A3F21"/>
    <w:rsid w:val="0094700D"/>
    <w:rsid w:val="009514CC"/>
    <w:rsid w:val="00952574"/>
    <w:rsid w:val="00991108"/>
    <w:rsid w:val="009921CD"/>
    <w:rsid w:val="009A1A52"/>
    <w:rsid w:val="009E0A6F"/>
    <w:rsid w:val="009E799D"/>
    <w:rsid w:val="009F5863"/>
    <w:rsid w:val="00A259EC"/>
    <w:rsid w:val="00A45EAD"/>
    <w:rsid w:val="00A5024D"/>
    <w:rsid w:val="00AB13D2"/>
    <w:rsid w:val="00AE346F"/>
    <w:rsid w:val="00AF27FE"/>
    <w:rsid w:val="00B42EC1"/>
    <w:rsid w:val="00B963E8"/>
    <w:rsid w:val="00BA71DC"/>
    <w:rsid w:val="00BD7DF4"/>
    <w:rsid w:val="00BD7FE6"/>
    <w:rsid w:val="00BF42F8"/>
    <w:rsid w:val="00C45BBE"/>
    <w:rsid w:val="00C774F7"/>
    <w:rsid w:val="00C96894"/>
    <w:rsid w:val="00D237A3"/>
    <w:rsid w:val="00D31E3A"/>
    <w:rsid w:val="00D5582F"/>
    <w:rsid w:val="00D65E5F"/>
    <w:rsid w:val="00D87527"/>
    <w:rsid w:val="00D95AA2"/>
    <w:rsid w:val="00DB37B6"/>
    <w:rsid w:val="00DD45F1"/>
    <w:rsid w:val="00E33E58"/>
    <w:rsid w:val="00E649B1"/>
    <w:rsid w:val="00E77819"/>
    <w:rsid w:val="00E86D48"/>
    <w:rsid w:val="00E87464"/>
    <w:rsid w:val="00EB3B6B"/>
    <w:rsid w:val="00EB76EA"/>
    <w:rsid w:val="00EE2BF1"/>
    <w:rsid w:val="00EF1293"/>
    <w:rsid w:val="00F26EBA"/>
    <w:rsid w:val="00F3226E"/>
    <w:rsid w:val="00F47B5B"/>
    <w:rsid w:val="00FA342E"/>
    <w:rsid w:val="00FF2465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27B7"/>
  <w15:docId w15:val="{D537D4BC-8EA3-44B0-8164-0802F675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uiPriority w:val="99"/>
    <w:unhideWhenUsed/>
    <w:rsid w:val="00C774F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4323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571B2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57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nkonyvtar.hu/hu/tartalom/tamop425/2011_0001_524_Radiologia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sotke.hu/2018/05/27/pocus-tankonyv-letoltes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8AD1-A8B2-4B69-8C76-095E2D54E9E1}"/>
</file>

<file path=customXml/itemProps2.xml><?xml version="1.0" encoding="utf-8"?>
<ds:datastoreItem xmlns:ds="http://schemas.openxmlformats.org/officeDocument/2006/customXml" ds:itemID="{488A9A0C-55D5-48F7-822E-9617775C7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40AC0-9F32-49D5-BEB6-C3DEE115A72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c4eff3c8-90d7-45ac-b260-2d8c8ed61f8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BCB4C4-20ED-4E8F-9CC5-BF981563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1006</Words>
  <Characters>6948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PTE-ETK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Balázs dr. Radnai</cp:lastModifiedBy>
  <cp:revision>12</cp:revision>
  <cp:lastPrinted>2017-12-15T06:47:00Z</cp:lastPrinted>
  <dcterms:created xsi:type="dcterms:W3CDTF">2019-01-25T12:12:00Z</dcterms:created>
  <dcterms:modified xsi:type="dcterms:W3CDTF">2019-01-28T10:57:00Z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AuthorIds_UIVersion_512">
    <vt:lpwstr>6</vt:lpwstr>
  </property>
  <property fmtid="{D5CDD505-2E9C-101B-9397-08002B2CF9AE}" pid="4" name="AuthorIds_UIVersion_1536">
    <vt:lpwstr>6</vt:lpwstr>
  </property>
  <property fmtid="{D5CDD505-2E9C-101B-9397-08002B2CF9AE}" pid="5" name="Order">
    <vt:r8>3500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