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704"/>
        <w:gridCol w:w="2181"/>
      </w:tblGrid>
      <w:tr w:rsidR="00DE2351" w:rsidRPr="000043B5" w14:paraId="5B5EC66B" w14:textId="77777777" w:rsidTr="00DE2351">
        <w:trPr>
          <w:jc w:val="center"/>
        </w:trPr>
        <w:tc>
          <w:tcPr>
            <w:tcW w:w="6693"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3E284FF6" w14:textId="6318634A" w:rsidR="00DE2351" w:rsidRPr="00DE2351" w:rsidRDefault="00DE2351" w:rsidP="00254EA5">
            <w:pPr>
              <w:suppressAutoHyphens/>
              <w:spacing w:after="0" w:line="240" w:lineRule="auto"/>
              <w:jc w:val="both"/>
              <w:rPr>
                <w:rFonts w:ascii="Playfair Display" w:eastAsia="Times New Roman" w:hAnsi="Playfair Display" w:cs="Times New Roman"/>
                <w:b/>
                <w:i/>
                <w:sz w:val="20"/>
                <w:szCs w:val="20"/>
                <w:lang w:eastAsia="hu-HU"/>
              </w:rPr>
            </w:pPr>
            <w:r w:rsidRPr="00DE2351">
              <w:rPr>
                <w:rFonts w:ascii="Playfair Display" w:eastAsia="Times New Roman" w:hAnsi="Playfair Display" w:cs="Times New Roman"/>
                <w:b/>
                <w:sz w:val="20"/>
                <w:szCs w:val="20"/>
                <w:lang w:eastAsia="hu-HU"/>
              </w:rPr>
              <w:t xml:space="preserve">Tantárgy neve:  </w:t>
            </w:r>
            <w:r w:rsidR="00F540DF">
              <w:rPr>
                <w:rFonts w:ascii="Playfair Display" w:eastAsia="Times New Roman" w:hAnsi="Playfair Display" w:cs="Times New Roman"/>
                <w:b/>
                <w:sz w:val="20"/>
                <w:szCs w:val="20"/>
                <w:lang w:eastAsia="hu-HU"/>
              </w:rPr>
              <w:t>OXYOLÓGIA I.</w:t>
            </w:r>
          </w:p>
        </w:tc>
        <w:tc>
          <w:tcPr>
            <w:tcW w:w="2181" w:type="dxa"/>
            <w:tcBorders>
              <w:top w:val="single" w:sz="4" w:space="0" w:color="auto"/>
              <w:left w:val="single" w:sz="4" w:space="0" w:color="auto"/>
              <w:right w:val="single" w:sz="4" w:space="0" w:color="auto"/>
            </w:tcBorders>
            <w:shd w:val="clear" w:color="auto" w:fill="auto"/>
            <w:tcMar>
              <w:top w:w="57" w:type="dxa"/>
              <w:bottom w:w="57" w:type="dxa"/>
            </w:tcMar>
          </w:tcPr>
          <w:p w14:paraId="2B9056CD" w14:textId="2E49E3C6"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w:t>
            </w:r>
            <w:r>
              <w:rPr>
                <w:rFonts w:ascii="Playfair Display" w:eastAsia="Times New Roman" w:hAnsi="Playfair Display" w:cs="Times New Roman"/>
                <w:b/>
                <w:sz w:val="20"/>
                <w:szCs w:val="20"/>
                <w:lang w:eastAsia="hu-HU"/>
              </w:rPr>
              <w:t>reditértéke:</w:t>
            </w:r>
            <w:r w:rsidR="00F540DF">
              <w:rPr>
                <w:rFonts w:ascii="Playfair Display" w:eastAsia="Times New Roman" w:hAnsi="Playfair Display" w:cs="Times New Roman"/>
                <w:b/>
                <w:sz w:val="20"/>
                <w:szCs w:val="20"/>
                <w:lang w:eastAsia="hu-HU"/>
              </w:rPr>
              <w:t xml:space="preserve"> 5</w:t>
            </w:r>
          </w:p>
        </w:tc>
      </w:tr>
      <w:tr w:rsidR="00DE2351" w:rsidRPr="000043B5" w14:paraId="3272921F"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5DEEEFCE" w14:textId="64A1329B"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besorolása</w:t>
            </w:r>
            <w:r w:rsidRPr="000043B5">
              <w:rPr>
                <w:rFonts w:ascii="Playfair Display" w:eastAsia="Times New Roman" w:hAnsi="Playfair Display" w:cs="Times New Roman"/>
                <w:sz w:val="20"/>
                <w:szCs w:val="20"/>
                <w:lang w:eastAsia="hu-HU"/>
              </w:rPr>
              <w:t xml:space="preserve">: </w:t>
            </w:r>
            <w:r w:rsidRPr="00F540DF">
              <w:rPr>
                <w:rFonts w:ascii="Playfair Display" w:eastAsia="Times New Roman" w:hAnsi="Playfair Display" w:cs="Times New Roman"/>
                <w:b/>
                <w:sz w:val="20"/>
                <w:szCs w:val="20"/>
                <w:u w:val="single"/>
                <w:lang w:eastAsia="hu-HU"/>
              </w:rPr>
              <w:t>kötelező</w:t>
            </w:r>
            <w:r w:rsidRPr="000043B5">
              <w:rPr>
                <w:rFonts w:ascii="Playfair Display" w:eastAsia="Times New Roman" w:hAnsi="Playfair Display" w:cs="Times New Roman"/>
                <w:b/>
                <w:sz w:val="20"/>
                <w:szCs w:val="20"/>
                <w:lang w:eastAsia="hu-HU"/>
              </w:rPr>
              <w:t xml:space="preserve"> </w:t>
            </w:r>
            <w:r>
              <w:rPr>
                <w:rFonts w:ascii="Playfair Display" w:eastAsia="Times New Roman" w:hAnsi="Playfair Display" w:cs="Times New Roman"/>
                <w:b/>
                <w:sz w:val="20"/>
                <w:szCs w:val="20"/>
                <w:lang w:eastAsia="hu-HU"/>
              </w:rPr>
              <w:t>/ választható</w:t>
            </w:r>
          </w:p>
        </w:tc>
      </w:tr>
      <w:tr w:rsidR="00DE2351" w:rsidRPr="000043B5" w14:paraId="259D834E" w14:textId="77777777" w:rsidTr="00DE2351">
        <w:trPr>
          <w:jc w:val="center"/>
        </w:trPr>
        <w:tc>
          <w:tcPr>
            <w:tcW w:w="887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5C7265" w14:textId="0C1E8F6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b/>
                <w:sz w:val="20"/>
                <w:szCs w:val="20"/>
                <w:lang w:eastAsia="hu-HU"/>
              </w:rPr>
              <w:t>A tantárgy elméleti vagy gyakorlati jellegének mértéke, „képzési karaktere”</w:t>
            </w:r>
            <w:r w:rsidRPr="000043B5">
              <w:rPr>
                <w:rFonts w:ascii="Playfair Display" w:eastAsia="Times New Roman" w:hAnsi="Playfair Display" w:cs="Times New Roman"/>
                <w:b/>
                <w:sz w:val="20"/>
                <w:szCs w:val="20"/>
                <w:bdr w:val="dotted" w:sz="4" w:space="0" w:color="auto"/>
                <w:vertAlign w:val="superscript"/>
                <w:lang w:eastAsia="hu-HU"/>
              </w:rPr>
              <w:t>12</w:t>
            </w:r>
            <w:r w:rsidRPr="000043B5">
              <w:rPr>
                <w:rFonts w:ascii="Playfair Display" w:eastAsia="Times New Roman" w:hAnsi="Playfair Display" w:cs="Times New Roman"/>
                <w:sz w:val="20"/>
                <w:szCs w:val="20"/>
                <w:lang w:eastAsia="hu-HU"/>
              </w:rPr>
              <w:t xml:space="preserve">: </w:t>
            </w:r>
            <w:r w:rsidR="00114316" w:rsidRPr="00114316">
              <w:rPr>
                <w:rFonts w:ascii="Playfair Display" w:eastAsia="Times New Roman" w:hAnsi="Playfair Display" w:cs="Times New Roman"/>
                <w:b/>
                <w:bCs/>
                <w:sz w:val="20"/>
                <w:szCs w:val="20"/>
                <w:lang w:eastAsia="hu-HU"/>
              </w:rPr>
              <w:t>100</w:t>
            </w:r>
            <w:r w:rsidRPr="00114316">
              <w:rPr>
                <w:rFonts w:ascii="Playfair Display" w:eastAsia="Times New Roman" w:hAnsi="Playfair Display" w:cs="Times New Roman"/>
                <w:b/>
                <w:bCs/>
                <w:sz w:val="20"/>
                <w:szCs w:val="20"/>
                <w:lang w:eastAsia="hu-HU"/>
              </w:rPr>
              <w:t xml:space="preserve"> %</w:t>
            </w:r>
            <w:r w:rsidRPr="000043B5">
              <w:rPr>
                <w:rFonts w:ascii="Playfair Display" w:eastAsia="Times New Roman" w:hAnsi="Playfair Display" w:cs="Times New Roman"/>
                <w:sz w:val="20"/>
                <w:szCs w:val="20"/>
                <w:lang w:eastAsia="hu-HU"/>
              </w:rPr>
              <w:t xml:space="preserve"> (kredit%)</w:t>
            </w:r>
          </w:p>
        </w:tc>
      </w:tr>
      <w:tr w:rsidR="00DE2351" w:rsidRPr="000043B5" w14:paraId="21189110" w14:textId="77777777" w:rsidTr="00DE2351">
        <w:trPr>
          <w:jc w:val="center"/>
        </w:trPr>
        <w:tc>
          <w:tcPr>
            <w:tcW w:w="8874" w:type="dxa"/>
            <w:gridSpan w:val="3"/>
            <w:tcBorders>
              <w:top w:val="single" w:sz="4" w:space="0" w:color="auto"/>
              <w:left w:val="single" w:sz="4" w:space="0" w:color="auto"/>
              <w:right w:val="single" w:sz="4" w:space="0" w:color="auto"/>
            </w:tcBorders>
            <w:shd w:val="clear" w:color="auto" w:fill="auto"/>
            <w:tcMar>
              <w:top w:w="57" w:type="dxa"/>
              <w:bottom w:w="57" w:type="dxa"/>
            </w:tcMar>
          </w:tcPr>
          <w:p w14:paraId="26C30F7E" w14:textId="77777777" w:rsidR="00DE2351"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tanóra</w:t>
            </w:r>
            <w:r w:rsidRPr="000043B5">
              <w:rPr>
                <w:rFonts w:ascii="Playfair Display" w:eastAsia="Times New Roman" w:hAnsi="Playfair Display" w:cs="Times New Roman"/>
                <w:b/>
                <w:sz w:val="20"/>
                <w:szCs w:val="20"/>
                <w:vertAlign w:val="superscript"/>
                <w:lang w:eastAsia="hu-HU"/>
              </w:rPr>
              <w:footnoteReference w:id="1"/>
            </w:r>
            <w:r w:rsidRPr="000043B5">
              <w:rPr>
                <w:rFonts w:ascii="Playfair Display" w:eastAsia="Times New Roman" w:hAnsi="Playfair Display" w:cs="Times New Roman"/>
                <w:b/>
                <w:sz w:val="20"/>
                <w:szCs w:val="20"/>
                <w:lang w:eastAsia="hu-HU"/>
              </w:rPr>
              <w:t xml:space="preserve"> típusa</w:t>
            </w:r>
            <w:r w:rsidRPr="000043B5">
              <w:rPr>
                <w:rFonts w:ascii="Playfair Display" w:eastAsia="Times New Roman" w:hAnsi="Playfair Display" w:cs="Times New Roman"/>
                <w:sz w:val="20"/>
                <w:szCs w:val="20"/>
                <w:lang w:eastAsia="hu-HU"/>
              </w:rPr>
              <w:t xml:space="preserve">: </w:t>
            </w:r>
            <w:r w:rsidRPr="00715A53">
              <w:rPr>
                <w:rFonts w:ascii="Playfair Display" w:eastAsia="Times New Roman" w:hAnsi="Playfair Display" w:cs="Times New Roman"/>
                <w:b/>
                <w:sz w:val="20"/>
                <w:szCs w:val="20"/>
                <w:u w:val="single"/>
                <w:lang w:eastAsia="hu-HU"/>
              </w:rPr>
              <w:t>ea.</w:t>
            </w:r>
            <w:r w:rsidRPr="00DE2351">
              <w:rPr>
                <w:rFonts w:ascii="Playfair Display" w:eastAsia="Times New Roman" w:hAnsi="Playfair Display" w:cs="Times New Roman"/>
                <w:bCs/>
                <w:sz w:val="20"/>
                <w:szCs w:val="20"/>
                <w:lang w:eastAsia="hu-HU"/>
              </w:rPr>
              <w:t xml:space="preserve"> / s</w:t>
            </w:r>
            <w:r w:rsidRPr="000043B5">
              <w:rPr>
                <w:rFonts w:ascii="Playfair Display" w:eastAsia="Times New Roman" w:hAnsi="Playfair Display" w:cs="Times New Roman"/>
                <w:sz w:val="20"/>
                <w:szCs w:val="20"/>
                <w:lang w:eastAsia="hu-HU"/>
              </w:rPr>
              <w:t xml:space="preserve">zem. / </w:t>
            </w:r>
            <w:r w:rsidRPr="00DE2351">
              <w:rPr>
                <w:rFonts w:ascii="Playfair Display" w:eastAsia="Times New Roman" w:hAnsi="Playfair Display" w:cs="Times New Roman"/>
                <w:bCs/>
                <w:sz w:val="20"/>
                <w:szCs w:val="20"/>
                <w:lang w:eastAsia="hu-HU"/>
              </w:rPr>
              <w:t>gyak.</w:t>
            </w:r>
            <w:r>
              <w:rPr>
                <w:rFonts w:ascii="Playfair Display" w:eastAsia="Times New Roman" w:hAnsi="Playfair Display" w:cs="Times New Roman"/>
                <w:sz w:val="20"/>
                <w:szCs w:val="20"/>
                <w:lang w:eastAsia="hu-HU"/>
              </w:rPr>
              <w:t xml:space="preserve"> / konz. és óraszáma: </w:t>
            </w:r>
          </w:p>
          <w:p w14:paraId="1FD4F45B" w14:textId="40874BC1" w:rsidR="00DE2351" w:rsidRPr="000043B5" w:rsidRDefault="00DE2351" w:rsidP="0072660B">
            <w:pPr>
              <w:suppressAutoHyphens/>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 </w:t>
            </w:r>
            <w:r w:rsidR="00715A53" w:rsidRPr="00715A53">
              <w:rPr>
                <w:rFonts w:ascii="Playfair Display" w:eastAsia="Times New Roman" w:hAnsi="Playfair Display" w:cs="Times New Roman"/>
                <w:b/>
                <w:bCs/>
                <w:sz w:val="20"/>
                <w:szCs w:val="20"/>
                <w:lang w:eastAsia="hu-HU"/>
              </w:rPr>
              <w:t>58</w:t>
            </w:r>
            <w:r>
              <w:rPr>
                <w:rFonts w:ascii="Playfair Display" w:eastAsia="Times New Roman" w:hAnsi="Playfair Display" w:cs="Times New Roman"/>
                <w:sz w:val="20"/>
                <w:szCs w:val="20"/>
                <w:lang w:eastAsia="hu-HU"/>
              </w:rPr>
              <w:t xml:space="preserve"> óra előadás nappali munkarend, </w:t>
            </w:r>
            <w:r w:rsidR="00E65F5F" w:rsidRPr="00E65F5F">
              <w:rPr>
                <w:rFonts w:ascii="Playfair Display" w:eastAsia="Times New Roman" w:hAnsi="Playfair Display" w:cs="Times New Roman"/>
                <w:b/>
                <w:bCs/>
                <w:sz w:val="20"/>
                <w:szCs w:val="20"/>
                <w:lang w:eastAsia="hu-HU"/>
              </w:rPr>
              <w:t>30</w:t>
            </w:r>
            <w:r w:rsidRPr="000043B5">
              <w:rPr>
                <w:rFonts w:ascii="Playfair Display" w:eastAsia="Times New Roman" w:hAnsi="Playfair Display" w:cs="Times New Roman"/>
                <w:sz w:val="20"/>
                <w:szCs w:val="20"/>
                <w:lang w:eastAsia="hu-HU"/>
              </w:rPr>
              <w:t xml:space="preserve"> óra </w:t>
            </w:r>
            <w:r>
              <w:rPr>
                <w:rFonts w:ascii="Playfair Display" w:eastAsia="Times New Roman" w:hAnsi="Playfair Display" w:cs="Times New Roman"/>
                <w:sz w:val="20"/>
                <w:szCs w:val="20"/>
                <w:lang w:eastAsia="hu-HU"/>
              </w:rPr>
              <w:t xml:space="preserve">előadás </w:t>
            </w:r>
            <w:r w:rsidRPr="000043B5">
              <w:rPr>
                <w:rFonts w:ascii="Playfair Display" w:eastAsia="Times New Roman" w:hAnsi="Playfair Display" w:cs="Times New Roman"/>
                <w:sz w:val="20"/>
                <w:szCs w:val="20"/>
                <w:lang w:eastAsia="hu-HU"/>
              </w:rPr>
              <w:t>levelező munkarend az adott félévben,</w:t>
            </w:r>
            <w:r>
              <w:rPr>
                <w:rFonts w:ascii="Playfair Display" w:eastAsia="Times New Roman" w:hAnsi="Playfair Display" w:cs="Times New Roman"/>
                <w:sz w:val="20"/>
                <w:szCs w:val="20"/>
                <w:lang w:eastAsia="hu-HU"/>
              </w:rPr>
              <w:t xml:space="preserve"> </w:t>
            </w:r>
          </w:p>
          <w:p w14:paraId="47AF09D2" w14:textId="60DD4DB3"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 adott ismeret átadásában alkalmazandó </w:t>
            </w:r>
            <w:r w:rsidRPr="000043B5">
              <w:rPr>
                <w:rFonts w:ascii="Playfair Display" w:eastAsia="Times New Roman" w:hAnsi="Playfair Display" w:cs="Times New Roman"/>
                <w:b/>
                <w:sz w:val="20"/>
                <w:szCs w:val="20"/>
                <w:lang w:eastAsia="hu-HU"/>
              </w:rPr>
              <w:t>további</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 jellemzők</w:t>
            </w:r>
            <w:r w:rsidRPr="000043B5">
              <w:rPr>
                <w:rFonts w:ascii="Playfair Display" w:eastAsia="Times New Roman" w:hAnsi="Playfair Display" w:cs="Times New Roman"/>
                <w:b/>
                <w:sz w:val="20"/>
                <w:szCs w:val="20"/>
                <w:vertAlign w:val="superscript"/>
                <w:lang w:eastAsia="hu-HU"/>
              </w:rPr>
              <w:footnoteReference w:id="2"/>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72660B" w:rsidRPr="001F0F57">
              <w:rPr>
                <w:rFonts w:ascii="Playfair Display" w:eastAsia="Times New Roman" w:hAnsi="Playfair Display" w:cs="Times New Roman"/>
                <w:b/>
                <w:bCs/>
                <w:sz w:val="20"/>
                <w:szCs w:val="20"/>
                <w:lang w:eastAsia="hu-HU"/>
              </w:rPr>
              <w:t>A kurzushoz 8 óra konzultáció kapcsolódik, mely keretében az EKG ismeretek elmélyítésére nyílik lehetőség.</w:t>
            </w:r>
          </w:p>
        </w:tc>
      </w:tr>
      <w:tr w:rsidR="00DE2351" w:rsidRPr="000043B5" w14:paraId="7DF1D2D2" w14:textId="77777777" w:rsidTr="00DE2351">
        <w:trPr>
          <w:jc w:val="center"/>
        </w:trPr>
        <w:tc>
          <w:tcPr>
            <w:tcW w:w="8874" w:type="dxa"/>
            <w:gridSpan w:val="3"/>
            <w:tcBorders>
              <w:left w:val="single" w:sz="4" w:space="0" w:color="auto"/>
              <w:right w:val="single" w:sz="4" w:space="0" w:color="auto"/>
            </w:tcBorders>
            <w:shd w:val="clear" w:color="auto" w:fill="auto"/>
            <w:tcMar>
              <w:top w:w="57" w:type="dxa"/>
              <w:bottom w:w="57" w:type="dxa"/>
            </w:tcMar>
          </w:tcPr>
          <w:p w14:paraId="4681C923" w14:textId="7777777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 xml:space="preserve">számonkérés </w:t>
            </w:r>
            <w:r w:rsidRPr="000043B5">
              <w:rPr>
                <w:rFonts w:ascii="Playfair Display" w:eastAsia="Times New Roman" w:hAnsi="Playfair Display" w:cs="Times New Roman"/>
                <w:sz w:val="20"/>
                <w:szCs w:val="20"/>
                <w:lang w:eastAsia="hu-HU"/>
              </w:rPr>
              <w:t>módja (</w:t>
            </w:r>
            <w:r w:rsidRPr="00DE2351">
              <w:rPr>
                <w:rFonts w:ascii="Playfair Display" w:eastAsia="Times New Roman" w:hAnsi="Playfair Display" w:cs="Times New Roman"/>
                <w:bCs/>
                <w:sz w:val="20"/>
                <w:szCs w:val="20"/>
                <w:lang w:eastAsia="hu-HU"/>
              </w:rPr>
              <w:t>koll. / gyj.</w:t>
            </w:r>
            <w:r w:rsidRPr="000043B5">
              <w:rPr>
                <w:rFonts w:ascii="Playfair Display" w:eastAsia="Times New Roman" w:hAnsi="Playfair Display" w:cs="Times New Roman"/>
                <w:sz w:val="20"/>
                <w:szCs w:val="20"/>
                <w:lang w:eastAsia="hu-HU"/>
              </w:rPr>
              <w:t xml:space="preserve"> / egyéb</w:t>
            </w:r>
            <w:r w:rsidRPr="000043B5">
              <w:rPr>
                <w:rFonts w:ascii="Playfair Display" w:eastAsia="Times New Roman" w:hAnsi="Playfair Display" w:cs="Times New Roman"/>
                <w:sz w:val="20"/>
                <w:szCs w:val="20"/>
                <w:vertAlign w:val="superscript"/>
                <w:lang w:eastAsia="hu-HU"/>
              </w:rPr>
              <w:footnoteReference w:id="3"/>
            </w:r>
            <w:r w:rsidRPr="000043B5">
              <w:rPr>
                <w:rFonts w:ascii="Playfair Display" w:eastAsia="Times New Roman" w:hAnsi="Playfair Display" w:cs="Times New Roman"/>
                <w:b/>
                <w:sz w:val="20"/>
                <w:szCs w:val="20"/>
                <w:lang w:eastAsia="hu-HU"/>
              </w:rPr>
              <w:t>)</w:t>
            </w:r>
            <w:r w:rsidRPr="000043B5">
              <w:rPr>
                <w:rFonts w:ascii="Playfair Display" w:eastAsia="Times New Roman" w:hAnsi="Playfair Display" w:cs="Times New Roman"/>
                <w:sz w:val="20"/>
                <w:szCs w:val="20"/>
                <w:lang w:eastAsia="hu-HU"/>
              </w:rPr>
              <w:t xml:space="preserve">: </w:t>
            </w:r>
            <w:r w:rsidRPr="00C814C4">
              <w:rPr>
                <w:rFonts w:ascii="Playfair Display" w:eastAsia="Times New Roman" w:hAnsi="Playfair Display" w:cs="Times New Roman"/>
                <w:b/>
                <w:bCs/>
                <w:sz w:val="20"/>
                <w:szCs w:val="20"/>
                <w:lang w:eastAsia="hu-HU"/>
              </w:rPr>
              <w:t>kollokvium</w:t>
            </w:r>
          </w:p>
          <w:p w14:paraId="42C796D2" w14:textId="05A5383E"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Az ismeretellenőrzésben alkalmazandó </w:t>
            </w:r>
            <w:r w:rsidRPr="000043B5">
              <w:rPr>
                <w:rFonts w:ascii="Playfair Display" w:eastAsia="Times New Roman" w:hAnsi="Playfair Display" w:cs="Times New Roman"/>
                <w:b/>
                <w:sz w:val="20"/>
                <w:szCs w:val="20"/>
                <w:lang w:eastAsia="hu-HU"/>
              </w:rPr>
              <w:t xml:space="preserve">további </w:t>
            </w:r>
            <w:r w:rsidRPr="000043B5">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w:t>
            </w:r>
            <w:r w:rsidRPr="000043B5">
              <w:rPr>
                <w:rFonts w:ascii="Playfair Display" w:eastAsia="Times New Roman" w:hAnsi="Playfair Display" w:cs="Times New Roman"/>
                <w:b/>
                <w:sz w:val="20"/>
                <w:szCs w:val="20"/>
                <w:vertAlign w:val="superscript"/>
                <w:lang w:eastAsia="hu-HU"/>
              </w:rPr>
              <w:footnoteReference w:id="4"/>
            </w:r>
            <w:r w:rsidRPr="000043B5">
              <w:rPr>
                <w:rFonts w:ascii="Playfair Display" w:eastAsia="Times New Roman" w:hAnsi="Playfair Display" w:cs="Times New Roman"/>
                <w:b/>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b/>
                <w:sz w:val="20"/>
                <w:szCs w:val="20"/>
                <w:lang w:eastAsia="hu-HU"/>
              </w:rPr>
              <w:t>:</w:t>
            </w:r>
            <w:r w:rsidR="00BD4EAE">
              <w:rPr>
                <w:rFonts w:ascii="Playfair Display" w:eastAsia="Times New Roman" w:hAnsi="Playfair Display" w:cs="Times New Roman"/>
                <w:b/>
                <w:sz w:val="20"/>
                <w:szCs w:val="20"/>
                <w:lang w:eastAsia="hu-HU"/>
              </w:rPr>
              <w:t xml:space="preserve"> A félév során két zárthelyi dolgozat megírására kerül sor, </w:t>
            </w:r>
            <w:r w:rsidR="00297B71">
              <w:rPr>
                <w:rFonts w:ascii="Playfair Display" w:eastAsia="Times New Roman" w:hAnsi="Playfair Display" w:cs="Times New Roman"/>
                <w:b/>
                <w:sz w:val="20"/>
                <w:szCs w:val="20"/>
                <w:lang w:eastAsia="hu-HU"/>
              </w:rPr>
              <w:t>amennyiben ezek</w:t>
            </w:r>
            <w:r w:rsidR="00BD4EAE">
              <w:rPr>
                <w:rFonts w:ascii="Playfair Display" w:eastAsia="Times New Roman" w:hAnsi="Playfair Display" w:cs="Times New Roman"/>
                <w:b/>
                <w:sz w:val="20"/>
                <w:szCs w:val="20"/>
                <w:lang w:eastAsia="hu-HU"/>
              </w:rPr>
              <w:t xml:space="preserve"> együttes eredménye</w:t>
            </w:r>
            <w:r w:rsidR="00297B71">
              <w:rPr>
                <w:rFonts w:ascii="Playfair Display" w:eastAsia="Times New Roman" w:hAnsi="Playfair Display" w:cs="Times New Roman"/>
                <w:b/>
                <w:sz w:val="20"/>
                <w:szCs w:val="20"/>
                <w:lang w:eastAsia="hu-HU"/>
              </w:rPr>
              <w:t xml:space="preserve"> eléri a 75%-ot, akkor a szóbeli vizsgán eggyel kevesebb tétel </w:t>
            </w:r>
            <w:r w:rsidR="004314B3">
              <w:rPr>
                <w:rFonts w:ascii="Playfair Display" w:eastAsia="Times New Roman" w:hAnsi="Playfair Display" w:cs="Times New Roman"/>
                <w:b/>
                <w:sz w:val="20"/>
                <w:szCs w:val="20"/>
                <w:lang w:eastAsia="hu-HU"/>
              </w:rPr>
              <w:t>megválaszolása szükséges!</w:t>
            </w:r>
          </w:p>
        </w:tc>
      </w:tr>
      <w:tr w:rsidR="00DE2351" w:rsidRPr="000043B5" w14:paraId="2EDF3800"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131CF01" w14:textId="18CDFE6D"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tantervi helye</w:t>
            </w:r>
            <w:r w:rsidRPr="000043B5">
              <w:rPr>
                <w:rFonts w:ascii="Playfair Display" w:eastAsia="Times New Roman" w:hAnsi="Playfair Display" w:cs="Times New Roman"/>
                <w:sz w:val="20"/>
                <w:szCs w:val="20"/>
                <w:lang w:eastAsia="hu-HU"/>
              </w:rPr>
              <w:t xml:space="preserve"> (hányadik félév): </w:t>
            </w:r>
            <w:r w:rsidR="000034B0" w:rsidRPr="000034B0">
              <w:rPr>
                <w:rFonts w:ascii="Playfair Display" w:eastAsia="Times New Roman" w:hAnsi="Playfair Display" w:cs="Times New Roman"/>
                <w:b/>
                <w:bCs/>
                <w:sz w:val="20"/>
                <w:szCs w:val="20"/>
                <w:lang w:eastAsia="hu-HU"/>
              </w:rPr>
              <w:t>IV. szemeszter</w:t>
            </w:r>
          </w:p>
        </w:tc>
      </w:tr>
      <w:tr w:rsidR="00DE2351" w:rsidRPr="000043B5" w14:paraId="1779E898"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4741B49" w14:textId="38108D83" w:rsidR="00DE2351" w:rsidRPr="000043B5" w:rsidRDefault="00DE2351" w:rsidP="00284F56">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Előtanulmányi feltételek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284F56" w:rsidRPr="004D78A6">
              <w:rPr>
                <w:rFonts w:ascii="Playfair Display" w:eastAsia="Times New Roman" w:hAnsi="Playfair Display" w:cs="Times New Roman"/>
                <w:b/>
                <w:bCs/>
                <w:sz w:val="20"/>
                <w:szCs w:val="20"/>
                <w:lang w:eastAsia="hu-HU"/>
              </w:rPr>
              <w:t>Élettan az egészségtudományban II., Kórélettan az egészségtudományban I.</w:t>
            </w:r>
          </w:p>
          <w:p w14:paraId="35479DB5" w14:textId="3303E90E"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Párhuzamos feltétel</w:t>
            </w:r>
            <w:r>
              <w:rPr>
                <w:rFonts w:ascii="Playfair Display" w:eastAsia="Times New Roman" w:hAnsi="Playfair Display" w:cs="Times New Roman"/>
                <w:sz w:val="20"/>
                <w:szCs w:val="20"/>
                <w:lang w:eastAsia="hu-HU"/>
              </w:rPr>
              <w:t>ek</w:t>
            </w:r>
            <w:r w:rsidRPr="000043B5">
              <w:rPr>
                <w:rFonts w:ascii="Playfair Display" w:eastAsia="Times New Roman" w:hAnsi="Playfair Display" w:cs="Times New Roman"/>
                <w:sz w:val="20"/>
                <w:szCs w:val="20"/>
                <w:lang w:eastAsia="hu-HU"/>
              </w:rPr>
              <w:t>:</w:t>
            </w:r>
            <w:r w:rsidR="00284F56">
              <w:rPr>
                <w:rFonts w:ascii="Playfair Display" w:eastAsia="Times New Roman" w:hAnsi="Playfair Display" w:cs="Times New Roman"/>
                <w:sz w:val="20"/>
                <w:szCs w:val="20"/>
                <w:lang w:eastAsia="hu-HU"/>
              </w:rPr>
              <w:t xml:space="preserve"> </w:t>
            </w:r>
            <w:r w:rsidR="00284F56" w:rsidRPr="004D78A6">
              <w:rPr>
                <w:rFonts w:ascii="Playfair Display" w:eastAsia="Times New Roman" w:hAnsi="Playfair Display" w:cs="Times New Roman"/>
                <w:b/>
                <w:bCs/>
                <w:sz w:val="20"/>
                <w:szCs w:val="20"/>
                <w:lang w:eastAsia="hu-HU"/>
              </w:rPr>
              <w:t>Gyógys</w:t>
            </w:r>
            <w:r w:rsidR="004D78A6" w:rsidRPr="004D78A6">
              <w:rPr>
                <w:rFonts w:ascii="Playfair Display" w:eastAsia="Times New Roman" w:hAnsi="Playfair Display" w:cs="Times New Roman"/>
                <w:b/>
                <w:bCs/>
                <w:sz w:val="20"/>
                <w:szCs w:val="20"/>
                <w:lang w:eastAsia="hu-HU"/>
              </w:rPr>
              <w:t>z</w:t>
            </w:r>
            <w:r w:rsidR="00284F56" w:rsidRPr="004D78A6">
              <w:rPr>
                <w:rFonts w:ascii="Playfair Display" w:eastAsia="Times New Roman" w:hAnsi="Playfair Display" w:cs="Times New Roman"/>
                <w:b/>
                <w:bCs/>
                <w:sz w:val="20"/>
                <w:szCs w:val="20"/>
                <w:lang w:eastAsia="hu-HU"/>
              </w:rPr>
              <w:t>ertan</w:t>
            </w:r>
            <w:r w:rsidR="004D78A6" w:rsidRPr="004D78A6">
              <w:rPr>
                <w:rFonts w:ascii="Playfair Display" w:eastAsia="Times New Roman" w:hAnsi="Playfair Display" w:cs="Times New Roman"/>
                <w:b/>
                <w:bCs/>
                <w:sz w:val="20"/>
                <w:szCs w:val="20"/>
                <w:lang w:eastAsia="hu-HU"/>
              </w:rPr>
              <w:t xml:space="preserve"> I. elmélet</w:t>
            </w:r>
          </w:p>
        </w:tc>
      </w:tr>
      <w:tr w:rsidR="00DE2351" w:rsidRPr="000043B5" w14:paraId="46814628" w14:textId="77777777" w:rsidTr="00DE2351">
        <w:trPr>
          <w:jc w:val="center"/>
        </w:trPr>
        <w:tc>
          <w:tcPr>
            <w:tcW w:w="8874"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3ADCDFC4" w14:textId="77777777"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Tantárgy-leírás</w:t>
            </w:r>
            <w:r w:rsidRPr="000043B5">
              <w:rPr>
                <w:rFonts w:ascii="Playfair Display" w:eastAsia="Times New Roman" w:hAnsi="Playfair Display" w:cs="Times New Roman"/>
                <w:sz w:val="20"/>
                <w:szCs w:val="20"/>
                <w:lang w:eastAsia="hu-HU"/>
              </w:rPr>
              <w:t xml:space="preserve">: az elsajátítandó </w:t>
            </w:r>
            <w:r w:rsidRPr="000043B5">
              <w:rPr>
                <w:rFonts w:ascii="Playfair Display" w:eastAsia="Times New Roman" w:hAnsi="Playfair Display" w:cs="Times New Roman"/>
                <w:b/>
                <w:sz w:val="20"/>
                <w:szCs w:val="20"/>
                <w:lang w:eastAsia="hu-HU"/>
              </w:rPr>
              <w:t>ismeretanyag tömör, ugyanakkor informáló leírása</w:t>
            </w:r>
          </w:p>
        </w:tc>
      </w:tr>
      <w:tr w:rsidR="00DE2351" w:rsidRPr="000043B5" w14:paraId="3E6283B5" w14:textId="77777777" w:rsidTr="00DE2351">
        <w:trPr>
          <w:trHeight w:val="34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5A97BAFD" w14:textId="77777777" w:rsidR="00F263BC" w:rsidRPr="00F263BC" w:rsidRDefault="00F263BC" w:rsidP="00F263BC">
            <w:pPr>
              <w:spacing w:after="0" w:line="240" w:lineRule="auto"/>
              <w:jc w:val="both"/>
              <w:rPr>
                <w:rFonts w:ascii="Playfair Display" w:eastAsia="Times New Roman" w:hAnsi="Playfair Display" w:cs="Times New Roman"/>
                <w:sz w:val="20"/>
                <w:szCs w:val="20"/>
                <w:lang w:eastAsia="hu-HU"/>
              </w:rPr>
            </w:pPr>
            <w:r w:rsidRPr="00F263BC">
              <w:rPr>
                <w:rFonts w:ascii="Playfair Display" w:eastAsia="Times New Roman" w:hAnsi="Playfair Display" w:cs="Times New Roman"/>
                <w:sz w:val="20"/>
                <w:szCs w:val="20"/>
                <w:lang w:eastAsia="hu-HU"/>
              </w:rPr>
              <w:t xml:space="preserve">A tantárgy célja, hogy a hallgató megismerje a sürgősségi ellátást igénylő kórfolyamatok közös jellemzőit, zajlásdinamikáját, következményeit. Készségszinten alkalmazza a sürgősségi diagnosztika eszköztárát, a megfelelő diagnosztikus módszerek és eszközök kiválasztását. A leletek birtokában képessé válik a helyes csoportdiagnózis megállapítására, a szükséges beavatkozásokkiválasztására, szövődménymentes kivitelezésére. Ismerje az oxyológia tárgyát, alapfogalmait (időfaktor, csoportdiagnózis, priorizálás, triage, szállítási trauma), ellátási alapelveit, azok klinikai alkalmazását. </w:t>
            </w:r>
          </w:p>
          <w:p w14:paraId="6CE8E9E9" w14:textId="09ED650A" w:rsidR="00DE2351" w:rsidRPr="000043B5" w:rsidRDefault="00F263BC" w:rsidP="00F263BC">
            <w:pPr>
              <w:spacing w:after="0" w:line="240" w:lineRule="auto"/>
              <w:jc w:val="both"/>
              <w:rPr>
                <w:rFonts w:ascii="Playfair Display" w:eastAsia="Times New Roman" w:hAnsi="Playfair Display" w:cs="Times New Roman"/>
                <w:sz w:val="20"/>
                <w:szCs w:val="20"/>
                <w:lang w:eastAsia="hu-HU"/>
              </w:rPr>
            </w:pPr>
            <w:r w:rsidRPr="00F263BC">
              <w:rPr>
                <w:rFonts w:ascii="Playfair Display" w:eastAsia="Times New Roman" w:hAnsi="Playfair Display" w:cs="Times New Roman"/>
                <w:sz w:val="20"/>
                <w:szCs w:val="20"/>
                <w:lang w:eastAsia="hu-HU"/>
              </w:rPr>
              <w:t xml:space="preserve">Szervrendszerenként ismeri a gyakori kórfolyamatok diagnosztikus módszereit, kezelési alapelveit és algoritmusait. Ennek megfelelően képessé válik a kardiovaszkuláris kórfolyamatok, így különösen az atherosclerossial összefüggő kórképek (ACS, stroke, ASO), a szívritmuszavarok, kardialis vészhelyzetek (pre-arrest állapotok, cardialis decompensatio, sokkfolyamatok), a hypertóniával összefüggő, továbbá egyéb thromboembolias kórfolyamatok (így a pulmonalis embólia) akut ellátására, a definitív kezelés megválasztására, annak megszervezésére. Ugyancsak képessé válik a légzőrendszer gyulladásos eredetű kórfolyamatainak, az asthma bronchiale protokolloknak megfelelő kezelési stratégiájának megválasztására, megkezdésére. Felismeri az ARDS folyamatát, megkezdi ellátását. Képes 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betegségei közül képes a hyper- és dyslipidaemiak, illetve azokkal összefüggő akut kórfolyamatok, a diabetes mellitus és szövődményei, a folyadék- és ionháztartás zavarainak felismerésére, első ellátásának megkezdésére. A daganatos megbetegedések sürgősségi </w:t>
            </w:r>
            <w:r w:rsidRPr="00F263BC">
              <w:rPr>
                <w:rFonts w:ascii="Playfair Display" w:eastAsia="Times New Roman" w:hAnsi="Playfair Display" w:cs="Times New Roman"/>
                <w:sz w:val="20"/>
                <w:szCs w:val="20"/>
                <w:lang w:eastAsia="hu-HU"/>
              </w:rPr>
              <w:lastRenderedPageBreak/>
              <w:t>szövődményeit (onkológiai sürgősségi állapotok) felismerésére és kezelésére képes. Képes továbbá a belgyógyászati balesetek ellátásának megkezdésére, megszervezésére.</w:t>
            </w:r>
          </w:p>
        </w:tc>
      </w:tr>
      <w:tr w:rsidR="00DE2351" w:rsidRPr="000043B5" w14:paraId="5CC590D6" w14:textId="77777777" w:rsidTr="00DE2351">
        <w:trPr>
          <w:trHeight w:val="388"/>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639E87" w14:textId="721FD7FD" w:rsidR="00DE2351" w:rsidRPr="000043B5"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lastRenderedPageBreak/>
              <w:t xml:space="preserve">A tantárgy részletes </w:t>
            </w:r>
            <w:r w:rsidRPr="000043B5">
              <w:rPr>
                <w:rFonts w:ascii="Playfair Display" w:eastAsia="Times New Roman" w:hAnsi="Playfair Display" w:cs="Times New Roman"/>
                <w:b/>
                <w:sz w:val="20"/>
                <w:szCs w:val="20"/>
                <w:lang w:eastAsia="hu-HU"/>
              </w:rPr>
              <w:t>tematikája nappali képzés</w:t>
            </w:r>
          </w:p>
        </w:tc>
      </w:tr>
      <w:tr w:rsidR="00DE2351" w:rsidRPr="000043B5" w14:paraId="70C44811" w14:textId="77777777" w:rsidTr="00DE2351">
        <w:trPr>
          <w:trHeight w:val="56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23BE2" w14:textId="18118C5E"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D856018" w14:textId="7442BF2C"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DE2351" w:rsidRPr="000043B5" w14:paraId="6BCA4A90" w14:textId="77777777" w:rsidTr="00DE2351">
        <w:trPr>
          <w:trHeight w:val="43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D9BBA" w14:textId="358898AD"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CA973BF" w14:textId="2907B799" w:rsidR="00DE2351" w:rsidRPr="000043B5" w:rsidRDefault="00F263BC"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Mentéstörténet I. (2 óra)</w:t>
            </w:r>
          </w:p>
        </w:tc>
      </w:tr>
      <w:tr w:rsidR="00DE2351" w:rsidRPr="000043B5" w14:paraId="78CC8F8C" w14:textId="77777777" w:rsidTr="00DE2351">
        <w:trPr>
          <w:trHeight w:val="37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B70E5" w14:textId="036308BE"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140339" w14:textId="56EF41CB" w:rsidR="00DE2351" w:rsidRPr="000043B5" w:rsidRDefault="00F263BC"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Mentéstörténet II. (2 óra)</w:t>
            </w:r>
          </w:p>
        </w:tc>
      </w:tr>
      <w:tr w:rsidR="00DE2351" w:rsidRPr="000043B5" w14:paraId="07A3ED62"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BF926" w14:textId="512CBC5B"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0A93D5D" w14:textId="779FD79C" w:rsidR="00DE2351" w:rsidRPr="000043B5" w:rsidRDefault="00F263BC"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Mentéstörténet III. (2 óra)</w:t>
            </w:r>
          </w:p>
        </w:tc>
      </w:tr>
      <w:tr w:rsidR="00DE2351" w:rsidRPr="000043B5" w14:paraId="7800E398" w14:textId="77777777" w:rsidTr="00DE2351">
        <w:trPr>
          <w:trHeight w:val="30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D67EDA" w14:textId="69920C2E"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8534" w14:textId="4E7E0AD7" w:rsidR="00DE2351" w:rsidRPr="000043B5" w:rsidRDefault="002D636B" w:rsidP="0019334C">
            <w:pPr>
              <w:spacing w:after="0" w:line="240" w:lineRule="auto"/>
              <w:jc w:val="both"/>
              <w:rPr>
                <w:rFonts w:ascii="Playfair Display" w:eastAsia="Times New Roman" w:hAnsi="Playfair Display" w:cs="Times New Roman"/>
                <w:sz w:val="20"/>
                <w:szCs w:val="20"/>
                <w:lang w:eastAsia="hu-HU"/>
              </w:rPr>
            </w:pPr>
            <w:r w:rsidRPr="002D636B">
              <w:rPr>
                <w:rFonts w:ascii="Playfair Display" w:eastAsia="Times New Roman" w:hAnsi="Playfair Display" w:cs="Times New Roman"/>
                <w:sz w:val="20"/>
                <w:szCs w:val="20"/>
                <w:lang w:eastAsia="hu-HU"/>
              </w:rPr>
              <w:t>ÁLTALÁNOS OXYOLÓGIA I: Az oxyológia tárgya, története</w:t>
            </w:r>
            <w:r w:rsidR="008C150A">
              <w:rPr>
                <w:rFonts w:ascii="Playfair Display" w:eastAsia="Times New Roman" w:hAnsi="Playfair Display" w:cs="Times New Roman"/>
                <w:sz w:val="20"/>
                <w:szCs w:val="20"/>
                <w:lang w:eastAsia="hu-HU"/>
              </w:rPr>
              <w:t>. Az oxyológiai gondolkodásmód specifikumai. Az oxyológia, mint tudomány.</w:t>
            </w:r>
            <w:r>
              <w:rPr>
                <w:rFonts w:ascii="Playfair Display" w:eastAsia="Times New Roman" w:hAnsi="Playfair Display" w:cs="Times New Roman"/>
                <w:sz w:val="20"/>
                <w:szCs w:val="20"/>
                <w:lang w:eastAsia="hu-HU"/>
              </w:rPr>
              <w:t xml:space="preserve"> (4 óra)</w:t>
            </w:r>
          </w:p>
        </w:tc>
      </w:tr>
      <w:tr w:rsidR="00DE2351" w:rsidRPr="000043B5" w14:paraId="2A9F19C1" w14:textId="77777777" w:rsidTr="00DE2351">
        <w:trPr>
          <w:trHeight w:val="28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837E7" w14:textId="0EA11001"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8F49905" w14:textId="10CC6BD5" w:rsidR="00DE2351" w:rsidRPr="000043B5" w:rsidRDefault="008C150A" w:rsidP="0019334C">
            <w:pPr>
              <w:spacing w:after="0" w:line="240" w:lineRule="auto"/>
              <w:jc w:val="both"/>
              <w:rPr>
                <w:rFonts w:ascii="Playfair Display" w:eastAsia="Times New Roman" w:hAnsi="Playfair Display" w:cs="Times New Roman"/>
                <w:sz w:val="20"/>
                <w:szCs w:val="20"/>
                <w:lang w:eastAsia="hu-HU"/>
              </w:rPr>
            </w:pPr>
            <w:r w:rsidRPr="008C150A">
              <w:rPr>
                <w:rFonts w:ascii="Playfair Display" w:eastAsia="Times New Roman" w:hAnsi="Playfair Display" w:cs="Times New Roman"/>
                <w:sz w:val="20"/>
                <w:szCs w:val="20"/>
                <w:lang w:eastAsia="hu-HU"/>
              </w:rPr>
              <w:t>ÁLTALÁNOS OXYOLÓGIA II: Az oxyológiai diagnosztika specifikumai, nozológiai és fenomenológiai megközelítések. Az alkalmazandó vizsgálatok prediktivitási mutatóinak meghatározása.</w:t>
            </w:r>
            <w:r>
              <w:rPr>
                <w:rFonts w:ascii="Playfair Display" w:eastAsia="Times New Roman" w:hAnsi="Playfair Display" w:cs="Times New Roman"/>
                <w:sz w:val="20"/>
                <w:szCs w:val="20"/>
                <w:lang w:eastAsia="hu-HU"/>
              </w:rPr>
              <w:t xml:space="preserve"> (4 óra)</w:t>
            </w:r>
          </w:p>
        </w:tc>
      </w:tr>
      <w:tr w:rsidR="00DE2351" w:rsidRPr="000043B5" w14:paraId="54380411"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BB8C9" w14:textId="2CA10B49"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AE6A7D" w14:textId="05D2FBCF" w:rsidR="00DE2351" w:rsidRPr="000043B5" w:rsidRDefault="0007452A" w:rsidP="0019334C">
            <w:pPr>
              <w:spacing w:after="0" w:line="240" w:lineRule="auto"/>
              <w:jc w:val="both"/>
              <w:rPr>
                <w:rFonts w:ascii="Playfair Display" w:eastAsia="Times New Roman" w:hAnsi="Playfair Display" w:cs="Times New Roman"/>
                <w:sz w:val="20"/>
                <w:szCs w:val="20"/>
                <w:lang w:eastAsia="hu-HU"/>
              </w:rPr>
            </w:pPr>
            <w:r w:rsidRPr="0007452A">
              <w:rPr>
                <w:rFonts w:ascii="Playfair Display" w:eastAsia="Times New Roman" w:hAnsi="Playfair Display" w:cs="Times New Roman"/>
                <w:sz w:val="20"/>
                <w:szCs w:val="20"/>
                <w:lang w:eastAsia="hu-HU"/>
              </w:rPr>
              <w:t>ÁLTALÁNOS OXYOLÓGIA III: A sürgősségi ellátás célja, eszközei. Az időfaktor. A csoportdiagnózis. Szállítási trauma fogalma és minimalizálása.</w:t>
            </w:r>
            <w:r>
              <w:rPr>
                <w:rFonts w:ascii="Playfair Display" w:eastAsia="Times New Roman" w:hAnsi="Playfair Display" w:cs="Times New Roman"/>
                <w:sz w:val="20"/>
                <w:szCs w:val="20"/>
                <w:lang w:eastAsia="hu-HU"/>
              </w:rPr>
              <w:t xml:space="preserve"> (4 óra)</w:t>
            </w:r>
          </w:p>
        </w:tc>
      </w:tr>
      <w:tr w:rsidR="00F263BC" w:rsidRPr="000043B5" w14:paraId="77DB4487"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5BE59A" w14:textId="3669E055"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83F85A" w14:textId="6D39ECDD" w:rsidR="00F263BC" w:rsidRPr="000043B5" w:rsidRDefault="00992A96" w:rsidP="0019334C">
            <w:pPr>
              <w:spacing w:after="0" w:line="240" w:lineRule="auto"/>
              <w:jc w:val="both"/>
              <w:rPr>
                <w:rFonts w:ascii="Playfair Display" w:eastAsia="Times New Roman" w:hAnsi="Playfair Display" w:cs="Times New Roman"/>
                <w:sz w:val="20"/>
                <w:szCs w:val="20"/>
                <w:lang w:eastAsia="hu-HU"/>
              </w:rPr>
            </w:pPr>
            <w:r w:rsidRPr="00992A96">
              <w:rPr>
                <w:rFonts w:ascii="Playfair Display" w:eastAsia="Times New Roman" w:hAnsi="Playfair Display" w:cs="Times New Roman"/>
                <w:sz w:val="20"/>
                <w:szCs w:val="20"/>
                <w:lang w:eastAsia="hu-HU"/>
              </w:rPr>
              <w:t>ÁLTALÁNOS OXYOLÓGIA IV: A kompromisszum-medicina alapelvei, erőforrás-allokációs szűkös erőforrások esetén. A triage módszertanának alapelvei, színterei és módszerei.</w:t>
            </w:r>
            <w:r>
              <w:rPr>
                <w:rFonts w:ascii="Playfair Display" w:eastAsia="Times New Roman" w:hAnsi="Playfair Display" w:cs="Times New Roman"/>
                <w:sz w:val="20"/>
                <w:szCs w:val="20"/>
                <w:lang w:eastAsia="hu-HU"/>
              </w:rPr>
              <w:t xml:space="preserve"> (4 óra)</w:t>
            </w:r>
          </w:p>
        </w:tc>
      </w:tr>
      <w:tr w:rsidR="00F263BC" w:rsidRPr="000043B5" w14:paraId="1A366294"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0E4D7" w14:textId="3F0892C1"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217E844" w14:textId="6721CB93" w:rsidR="00F263BC" w:rsidRPr="000043B5" w:rsidRDefault="00885E05" w:rsidP="0019334C">
            <w:pPr>
              <w:spacing w:after="0" w:line="240" w:lineRule="auto"/>
              <w:jc w:val="both"/>
              <w:rPr>
                <w:rFonts w:ascii="Playfair Display" w:eastAsia="Times New Roman" w:hAnsi="Playfair Display" w:cs="Times New Roman"/>
                <w:sz w:val="20"/>
                <w:szCs w:val="20"/>
                <w:lang w:eastAsia="hu-HU"/>
              </w:rPr>
            </w:pPr>
            <w:r w:rsidRPr="00885E05">
              <w:rPr>
                <w:rFonts w:ascii="Playfair Display" w:eastAsia="Times New Roman" w:hAnsi="Playfair Display" w:cs="Times New Roman"/>
                <w:sz w:val="20"/>
                <w:szCs w:val="20"/>
                <w:lang w:eastAsia="hu-HU"/>
              </w:rPr>
              <w:t xml:space="preserve">EKG I: A szívizomzat ingerképző és ingerületvezető apparátusa. A dpolarizációs és repolarizáció folymata, az elektro-mechanikai junkció. </w:t>
            </w:r>
            <w:r>
              <w:rPr>
                <w:rFonts w:ascii="Playfair Display" w:eastAsia="Times New Roman" w:hAnsi="Playfair Display" w:cs="Times New Roman"/>
                <w:sz w:val="20"/>
                <w:szCs w:val="20"/>
                <w:lang w:eastAsia="hu-HU"/>
              </w:rPr>
              <w:t>(4 óra)</w:t>
            </w:r>
          </w:p>
        </w:tc>
      </w:tr>
      <w:tr w:rsidR="00F263BC" w:rsidRPr="000043B5" w14:paraId="04045B87"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814D2" w14:textId="6C73F18F"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238725" w14:textId="183133E4" w:rsidR="00F263BC" w:rsidRPr="000043B5" w:rsidRDefault="00885E05"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EKG II: </w:t>
            </w:r>
            <w:r w:rsidRPr="00885E05">
              <w:rPr>
                <w:rFonts w:ascii="Playfair Display" w:eastAsia="Times New Roman" w:hAnsi="Playfair Display" w:cs="Times New Roman"/>
                <w:sz w:val="20"/>
                <w:szCs w:val="20"/>
                <w:lang w:eastAsia="hu-HU"/>
              </w:rPr>
              <w:t>Az EKG keletkezése. Elektródák és helyzeteik. Az unipoláris és bipoláris elvezetések.</w:t>
            </w:r>
            <w:r>
              <w:rPr>
                <w:rFonts w:ascii="Playfair Display" w:eastAsia="Times New Roman" w:hAnsi="Playfair Display" w:cs="Times New Roman"/>
                <w:sz w:val="20"/>
                <w:szCs w:val="20"/>
                <w:lang w:eastAsia="hu-HU"/>
              </w:rPr>
              <w:t xml:space="preserve"> (4 óra)</w:t>
            </w:r>
          </w:p>
        </w:tc>
      </w:tr>
      <w:tr w:rsidR="00F263BC" w:rsidRPr="000043B5" w14:paraId="32AD473B"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CC492" w14:textId="56F96658"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83E220D" w14:textId="7D53A1D9" w:rsidR="00F263BC" w:rsidRPr="000043B5" w:rsidRDefault="00E86B71" w:rsidP="0019334C">
            <w:pPr>
              <w:spacing w:after="0" w:line="240" w:lineRule="auto"/>
              <w:jc w:val="both"/>
              <w:rPr>
                <w:rFonts w:ascii="Playfair Display" w:eastAsia="Times New Roman" w:hAnsi="Playfair Display" w:cs="Times New Roman"/>
                <w:sz w:val="20"/>
                <w:szCs w:val="20"/>
                <w:lang w:eastAsia="hu-HU"/>
              </w:rPr>
            </w:pPr>
            <w:r w:rsidRPr="00E86B71">
              <w:rPr>
                <w:rFonts w:ascii="Playfair Display" w:eastAsia="Times New Roman" w:hAnsi="Playfair Display" w:cs="Times New Roman"/>
                <w:sz w:val="20"/>
                <w:szCs w:val="20"/>
                <w:lang w:eastAsia="hu-HU"/>
              </w:rPr>
              <w:t>EKG I</w:t>
            </w:r>
            <w:r>
              <w:rPr>
                <w:rFonts w:ascii="Playfair Display" w:eastAsia="Times New Roman" w:hAnsi="Playfair Display" w:cs="Times New Roman"/>
                <w:sz w:val="20"/>
                <w:szCs w:val="20"/>
                <w:lang w:eastAsia="hu-HU"/>
              </w:rPr>
              <w:t>I</w:t>
            </w:r>
            <w:r w:rsidRPr="00E86B71">
              <w:rPr>
                <w:rFonts w:ascii="Playfair Display" w:eastAsia="Times New Roman" w:hAnsi="Playfair Display" w:cs="Times New Roman"/>
                <w:sz w:val="20"/>
                <w:szCs w:val="20"/>
                <w:lang w:eastAsia="hu-HU"/>
              </w:rPr>
              <w:t xml:space="preserve">I: A standard 12 elvezetéses EKG, fiziológiás görbe. Uni- és bipoláris elvezetések. Nevezéktan, az egyes hullámok azonosítása, jellemzői. </w:t>
            </w:r>
            <w:r>
              <w:rPr>
                <w:rFonts w:ascii="Playfair Display" w:eastAsia="Times New Roman" w:hAnsi="Playfair Display" w:cs="Times New Roman"/>
                <w:sz w:val="20"/>
                <w:szCs w:val="20"/>
                <w:lang w:eastAsia="hu-HU"/>
              </w:rPr>
              <w:t>(4 óra)</w:t>
            </w:r>
          </w:p>
        </w:tc>
      </w:tr>
      <w:tr w:rsidR="00F263BC" w:rsidRPr="000043B5" w14:paraId="3DA155F6"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A57FF" w14:textId="360FCDEE"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9E9AB0" w14:textId="365EA867" w:rsidR="00F263BC" w:rsidRPr="000043B5" w:rsidRDefault="00E86B71"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EKG IV: </w:t>
            </w:r>
            <w:r w:rsidRPr="00E86B71">
              <w:rPr>
                <w:rFonts w:ascii="Playfair Display" w:eastAsia="Times New Roman" w:hAnsi="Playfair Display" w:cs="Times New Roman"/>
                <w:sz w:val="20"/>
                <w:szCs w:val="20"/>
                <w:lang w:eastAsia="hu-HU"/>
              </w:rPr>
              <w:t>A tengelyállás jelentősége és meghatározása. A szívfrekvencia meghatározásának módjai.</w:t>
            </w:r>
            <w:r>
              <w:rPr>
                <w:rFonts w:ascii="Playfair Display" w:eastAsia="Times New Roman" w:hAnsi="Playfair Display" w:cs="Times New Roman"/>
                <w:sz w:val="20"/>
                <w:szCs w:val="20"/>
                <w:lang w:eastAsia="hu-HU"/>
              </w:rPr>
              <w:t xml:space="preserve"> (4 óra)</w:t>
            </w:r>
          </w:p>
        </w:tc>
      </w:tr>
      <w:tr w:rsidR="00F263BC" w:rsidRPr="000043B5" w14:paraId="6A240189"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5F3C28" w14:textId="5D6FA0F0"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B93A4BE" w14:textId="7CC66181" w:rsidR="00F263BC" w:rsidRPr="000043B5" w:rsidRDefault="00822E4B"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EKG V: </w:t>
            </w:r>
            <w:r w:rsidRPr="00822E4B">
              <w:rPr>
                <w:rFonts w:ascii="Playfair Display" w:eastAsia="Times New Roman" w:hAnsi="Playfair Display" w:cs="Times New Roman"/>
                <w:sz w:val="20"/>
                <w:szCs w:val="20"/>
                <w:lang w:eastAsia="hu-HU"/>
              </w:rPr>
              <w:t xml:space="preserve">Ingerképzési és ingerületvezetési zavarok EKG diagnosztikája. </w:t>
            </w:r>
            <w:r w:rsidR="004F6D64">
              <w:rPr>
                <w:rFonts w:ascii="Playfair Display" w:eastAsia="Times New Roman" w:hAnsi="Playfair Display" w:cs="Times New Roman"/>
                <w:sz w:val="20"/>
                <w:szCs w:val="20"/>
                <w:lang w:eastAsia="hu-HU"/>
              </w:rPr>
              <w:t>(4 óra)</w:t>
            </w:r>
          </w:p>
        </w:tc>
      </w:tr>
      <w:tr w:rsidR="00F263BC" w:rsidRPr="000043B5" w14:paraId="41A866EF"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85D92" w14:textId="6DB16160"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50A92A4" w14:textId="5C916CD1" w:rsidR="00F263BC" w:rsidRPr="000043B5" w:rsidRDefault="00822E4B" w:rsidP="0019334C">
            <w:pPr>
              <w:spacing w:after="0" w:line="240" w:lineRule="auto"/>
              <w:jc w:val="both"/>
              <w:rPr>
                <w:rFonts w:ascii="Playfair Display" w:eastAsia="Times New Roman" w:hAnsi="Playfair Display" w:cs="Times New Roman"/>
                <w:sz w:val="20"/>
                <w:szCs w:val="20"/>
                <w:lang w:eastAsia="hu-HU"/>
              </w:rPr>
            </w:pPr>
            <w:r w:rsidRPr="00822E4B">
              <w:rPr>
                <w:rFonts w:ascii="Playfair Display" w:eastAsia="Times New Roman" w:hAnsi="Playfair Display" w:cs="Times New Roman"/>
                <w:sz w:val="20"/>
                <w:szCs w:val="20"/>
                <w:lang w:eastAsia="hu-HU"/>
              </w:rPr>
              <w:t xml:space="preserve">EKG </w:t>
            </w:r>
            <w:r>
              <w:rPr>
                <w:rFonts w:ascii="Playfair Display" w:eastAsia="Times New Roman" w:hAnsi="Playfair Display" w:cs="Times New Roman"/>
                <w:sz w:val="20"/>
                <w:szCs w:val="20"/>
                <w:lang w:eastAsia="hu-HU"/>
              </w:rPr>
              <w:t>V</w:t>
            </w:r>
            <w:r w:rsidRPr="00822E4B">
              <w:rPr>
                <w:rFonts w:ascii="Playfair Display" w:eastAsia="Times New Roman" w:hAnsi="Playfair Display" w:cs="Times New Roman"/>
                <w:sz w:val="20"/>
                <w:szCs w:val="20"/>
                <w:lang w:eastAsia="hu-HU"/>
              </w:rPr>
              <w:t>I:</w:t>
            </w:r>
            <w:r w:rsidR="004F6D64" w:rsidRPr="00822E4B">
              <w:rPr>
                <w:rFonts w:ascii="Playfair Display" w:eastAsia="Times New Roman" w:hAnsi="Playfair Display" w:cs="Times New Roman"/>
                <w:sz w:val="20"/>
                <w:szCs w:val="20"/>
                <w:lang w:eastAsia="hu-HU"/>
              </w:rPr>
              <w:t xml:space="preserve"> A ritmuszavarok alapmechanizmusai: acceleratio, pótritmus, reentry. SA és AV blokkok, intraventricularis vezetési zavarok.</w:t>
            </w:r>
            <w:r w:rsidR="004F6D64">
              <w:rPr>
                <w:rFonts w:ascii="Playfair Display" w:eastAsia="Times New Roman" w:hAnsi="Playfair Display" w:cs="Times New Roman"/>
                <w:sz w:val="20"/>
                <w:szCs w:val="20"/>
                <w:lang w:eastAsia="hu-HU"/>
              </w:rPr>
              <w:t xml:space="preserve"> (4 óra)</w:t>
            </w:r>
          </w:p>
        </w:tc>
      </w:tr>
      <w:tr w:rsidR="00F263BC" w:rsidRPr="000043B5" w14:paraId="19A38815"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5A364" w14:textId="7B696A85"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8D9E143" w14:textId="5F421668" w:rsidR="00F263BC" w:rsidRPr="000043B5" w:rsidRDefault="00AB021D" w:rsidP="0019334C">
            <w:pPr>
              <w:spacing w:after="0" w:line="240" w:lineRule="auto"/>
              <w:jc w:val="both"/>
              <w:rPr>
                <w:rFonts w:ascii="Playfair Display" w:eastAsia="Times New Roman" w:hAnsi="Playfair Display" w:cs="Times New Roman"/>
                <w:sz w:val="20"/>
                <w:szCs w:val="20"/>
                <w:lang w:eastAsia="hu-HU"/>
              </w:rPr>
            </w:pPr>
            <w:r w:rsidRPr="00AB021D">
              <w:rPr>
                <w:rFonts w:ascii="Playfair Display" w:eastAsia="Times New Roman" w:hAnsi="Playfair Display" w:cs="Times New Roman"/>
                <w:sz w:val="20"/>
                <w:szCs w:val="20"/>
                <w:lang w:eastAsia="hu-HU"/>
              </w:rPr>
              <w:t>EKG V</w:t>
            </w:r>
            <w:r>
              <w:rPr>
                <w:rFonts w:ascii="Playfair Display" w:eastAsia="Times New Roman" w:hAnsi="Playfair Display" w:cs="Times New Roman"/>
                <w:sz w:val="20"/>
                <w:szCs w:val="20"/>
                <w:lang w:eastAsia="hu-HU"/>
              </w:rPr>
              <w:t>II</w:t>
            </w:r>
            <w:r w:rsidRPr="00AB021D">
              <w:rPr>
                <w:rFonts w:ascii="Playfair Display" w:eastAsia="Times New Roman" w:hAnsi="Playfair Display" w:cs="Times New Roman"/>
                <w:sz w:val="20"/>
                <w:szCs w:val="20"/>
                <w:lang w:eastAsia="hu-HU"/>
              </w:rPr>
              <w:t xml:space="preserve">: A jobb és bal szívfél terhelésének jelei, a pulmonalis embóliához kapcsolódó EKG eltérések. </w:t>
            </w:r>
            <w:r w:rsidR="008B680E">
              <w:rPr>
                <w:rFonts w:ascii="Playfair Display" w:eastAsia="Times New Roman" w:hAnsi="Playfair Display" w:cs="Times New Roman"/>
                <w:sz w:val="20"/>
                <w:szCs w:val="20"/>
                <w:lang w:eastAsia="hu-HU"/>
              </w:rPr>
              <w:t>(4 óra)</w:t>
            </w:r>
          </w:p>
        </w:tc>
      </w:tr>
      <w:tr w:rsidR="00F263BC" w:rsidRPr="000043B5" w14:paraId="6FD9057E"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EC0AA" w14:textId="25484EAA" w:rsidR="00F263BC"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B21EEF5" w14:textId="6C868EFD" w:rsidR="00F263BC" w:rsidRPr="000043B5" w:rsidRDefault="0058395E"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EKG VIII: </w:t>
            </w:r>
            <w:r w:rsidRPr="00AB021D">
              <w:rPr>
                <w:rFonts w:ascii="Playfair Display" w:eastAsia="Times New Roman" w:hAnsi="Playfair Display" w:cs="Times New Roman"/>
                <w:sz w:val="20"/>
                <w:szCs w:val="20"/>
                <w:lang w:eastAsia="hu-HU"/>
              </w:rPr>
              <w:t>A myocardialis hypertrophia EKG jelei. Gyógyszerhatás az EKG görbén.</w:t>
            </w:r>
            <w:r w:rsidR="008B680E">
              <w:rPr>
                <w:rFonts w:ascii="Playfair Display" w:eastAsia="Times New Roman" w:hAnsi="Playfair Display" w:cs="Times New Roman"/>
                <w:sz w:val="20"/>
                <w:szCs w:val="20"/>
                <w:lang w:eastAsia="hu-HU"/>
              </w:rPr>
              <w:t xml:space="preserve"> (4 óra)</w:t>
            </w:r>
          </w:p>
        </w:tc>
      </w:tr>
      <w:tr w:rsidR="00DE2351" w:rsidRPr="000043B5" w14:paraId="762C3C26"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55333" w14:textId="02DAC4A5" w:rsidR="00DE2351" w:rsidRPr="000043B5" w:rsidRDefault="00F263BC"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16</w:t>
            </w:r>
            <w:r w:rsidR="00DE2351">
              <w:rPr>
                <w:rFonts w:ascii="Playfair Display" w:eastAsia="Times New Roman" w:hAnsi="Playfair Display" w:cs="Times New Roman"/>
                <w:sz w:val="20"/>
                <w:szCs w:val="20"/>
                <w:lang w:eastAsia="hu-HU"/>
              </w:rPr>
              <w:t>.</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26A6186" w14:textId="35E3DE7A" w:rsidR="00DE2351" w:rsidRPr="000043B5" w:rsidRDefault="0058395E" w:rsidP="0019334C">
            <w:pPr>
              <w:spacing w:after="0" w:line="240" w:lineRule="auto"/>
              <w:jc w:val="both"/>
              <w:rPr>
                <w:rFonts w:ascii="Playfair Display" w:eastAsia="Times New Roman" w:hAnsi="Playfair Display" w:cs="Times New Roman"/>
                <w:sz w:val="20"/>
                <w:szCs w:val="20"/>
                <w:lang w:eastAsia="hu-HU"/>
              </w:rPr>
            </w:pPr>
            <w:r w:rsidRPr="0058395E">
              <w:rPr>
                <w:rFonts w:ascii="Playfair Display" w:eastAsia="Times New Roman" w:hAnsi="Playfair Display" w:cs="Times New Roman"/>
                <w:sz w:val="20"/>
                <w:szCs w:val="20"/>
                <w:lang w:eastAsia="hu-HU"/>
              </w:rPr>
              <w:t xml:space="preserve">EKG </w:t>
            </w:r>
            <w:r>
              <w:rPr>
                <w:rFonts w:ascii="Playfair Display" w:eastAsia="Times New Roman" w:hAnsi="Playfair Display" w:cs="Times New Roman"/>
                <w:sz w:val="20"/>
                <w:szCs w:val="20"/>
                <w:lang w:eastAsia="hu-HU"/>
              </w:rPr>
              <w:t>IX</w:t>
            </w:r>
            <w:r w:rsidRPr="0058395E">
              <w:rPr>
                <w:rFonts w:ascii="Playfair Display" w:eastAsia="Times New Roman" w:hAnsi="Playfair Display" w:cs="Times New Roman"/>
                <w:sz w:val="20"/>
                <w:szCs w:val="20"/>
                <w:lang w:eastAsia="hu-HU"/>
              </w:rPr>
              <w:t>: Ischamia az EKG görbén: subendocardialis, subepicardialis és transmuralis. PM az EKG diagnosztikában.</w:t>
            </w:r>
            <w:r w:rsidR="008B680E">
              <w:rPr>
                <w:rFonts w:ascii="Playfair Display" w:eastAsia="Times New Roman" w:hAnsi="Playfair Display" w:cs="Times New Roman"/>
                <w:sz w:val="20"/>
                <w:szCs w:val="20"/>
                <w:lang w:eastAsia="hu-HU"/>
              </w:rPr>
              <w:t xml:space="preserve"> (4 óra)</w:t>
            </w:r>
          </w:p>
        </w:tc>
      </w:tr>
      <w:tr w:rsidR="00DE2351" w:rsidRPr="000043B5" w14:paraId="5270883C" w14:textId="77777777" w:rsidTr="00DE2351">
        <w:trPr>
          <w:trHeight w:val="32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3E92655" w14:textId="207524AA" w:rsidR="00DE2351" w:rsidRPr="000043B5" w:rsidRDefault="00DE2351" w:rsidP="00DE2351">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tantárgy részletes </w:t>
            </w:r>
            <w:r w:rsidRPr="000043B5">
              <w:rPr>
                <w:rFonts w:ascii="Playfair Display" w:eastAsia="Times New Roman" w:hAnsi="Playfair Display" w:cs="Times New Roman"/>
                <w:b/>
                <w:sz w:val="20"/>
                <w:szCs w:val="20"/>
                <w:lang w:eastAsia="hu-HU"/>
              </w:rPr>
              <w:t>tematikája levelező képzés</w:t>
            </w:r>
            <w:r>
              <w:rPr>
                <w:rFonts w:ascii="Playfair Display" w:eastAsia="Times New Roman" w:hAnsi="Playfair Display" w:cs="Times New Roman"/>
                <w:b/>
                <w:sz w:val="20"/>
                <w:szCs w:val="20"/>
                <w:lang w:eastAsia="hu-HU"/>
              </w:rPr>
              <w:t>:</w:t>
            </w:r>
          </w:p>
        </w:tc>
      </w:tr>
      <w:tr w:rsidR="00DE2351" w:rsidRPr="000043B5" w14:paraId="40D4DDB9" w14:textId="77777777" w:rsidTr="00DE2351">
        <w:trPr>
          <w:trHeight w:val="49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73B4A" w14:textId="7DC56090" w:rsidR="00DE2351" w:rsidRPr="00DE2351" w:rsidRDefault="00DE2351" w:rsidP="00DE2351">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CE60EDC" w14:textId="09BB8E61" w:rsidR="00DE2351" w:rsidRPr="00DE2351" w:rsidRDefault="00DE2351" w:rsidP="00DE2351">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DE2351" w:rsidRPr="000043B5" w14:paraId="6D699DBA" w14:textId="77777777" w:rsidTr="00DE2351">
        <w:trPr>
          <w:trHeight w:val="35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AEA5AA" w14:textId="69FCA73A"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3E88" w14:textId="52C57606" w:rsidR="00DE2351" w:rsidRPr="000043B5" w:rsidRDefault="00457BAC" w:rsidP="00DE2351">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MENTÉSTÖRTÉNET</w:t>
            </w:r>
          </w:p>
        </w:tc>
      </w:tr>
      <w:tr w:rsidR="00DE2351" w:rsidRPr="000043B5" w14:paraId="1D1EEB99" w14:textId="77777777" w:rsidTr="00DE2351">
        <w:trPr>
          <w:trHeight w:val="30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AC6D7" w14:textId="4AA1E8A3"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lastRenderedPageBreak/>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AECE520" w14:textId="41E43BA5" w:rsidR="00DE2351" w:rsidRPr="000043B5" w:rsidRDefault="00457BAC"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ÁLTALÁNOS OXYOLÓGIA: </w:t>
            </w:r>
            <w:r w:rsidR="00F3325F" w:rsidRPr="002D636B">
              <w:rPr>
                <w:rFonts w:ascii="Playfair Display" w:eastAsia="Times New Roman" w:hAnsi="Playfair Display" w:cs="Times New Roman"/>
                <w:sz w:val="20"/>
                <w:szCs w:val="20"/>
                <w:lang w:eastAsia="hu-HU"/>
              </w:rPr>
              <w:t>Az oxyológia tárgya, története</w:t>
            </w:r>
            <w:r w:rsidR="00F3325F">
              <w:rPr>
                <w:rFonts w:ascii="Playfair Display" w:eastAsia="Times New Roman" w:hAnsi="Playfair Display" w:cs="Times New Roman"/>
                <w:sz w:val="20"/>
                <w:szCs w:val="20"/>
                <w:lang w:eastAsia="hu-HU"/>
              </w:rPr>
              <w:t xml:space="preserve">. Az oxyológiai gondolkodásmód specifikumai. Az oxyológia, mint tudomány. </w:t>
            </w:r>
            <w:r w:rsidR="00F3325F" w:rsidRPr="00F3325F">
              <w:rPr>
                <w:rFonts w:ascii="Playfair Display" w:eastAsia="Times New Roman" w:hAnsi="Playfair Display" w:cs="Times New Roman"/>
                <w:sz w:val="20"/>
                <w:szCs w:val="20"/>
                <w:lang w:eastAsia="hu-HU"/>
              </w:rPr>
              <w:t>Az oxyológiai diagnosztika specifikumai, nozológiai és fenomenológiai megközelítések. Az alkalmazandó vizsgálatok prediktivitási mutatóinak meghatározása. A sürgősségi ellátás célja, eszközei. Az időfaktor. A csoportdiagnózis. Szállítási trauma fogalma és minimalizálása. A kompromisszum-medicina alapelvei, erőforrás-allokációs szűkös erőforrások esetén. A triage módszertanának alapelvei, színterei és módszerei.</w:t>
            </w:r>
          </w:p>
        </w:tc>
      </w:tr>
      <w:tr w:rsidR="00DE2351" w:rsidRPr="000043B5" w14:paraId="272E013C"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0082" w14:textId="5C4B87BE"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42C6BBD" w14:textId="3B1D47F5" w:rsidR="00DE2351" w:rsidRPr="000043B5" w:rsidRDefault="00557C8F"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EKG</w:t>
            </w:r>
            <w:r w:rsidR="000E1A4E">
              <w:rPr>
                <w:rFonts w:ascii="Playfair Display" w:eastAsia="Times New Roman" w:hAnsi="Playfair Display" w:cs="Times New Roman"/>
                <w:sz w:val="20"/>
                <w:szCs w:val="20"/>
                <w:lang w:eastAsia="hu-HU"/>
              </w:rPr>
              <w:t xml:space="preserve"> I.</w:t>
            </w:r>
            <w:r>
              <w:rPr>
                <w:rFonts w:ascii="Playfair Display" w:eastAsia="Times New Roman" w:hAnsi="Playfair Display" w:cs="Times New Roman"/>
                <w:sz w:val="20"/>
                <w:szCs w:val="20"/>
                <w:lang w:eastAsia="hu-HU"/>
              </w:rPr>
              <w:t xml:space="preserve">: </w:t>
            </w:r>
            <w:r w:rsidRPr="00557C8F">
              <w:rPr>
                <w:rFonts w:ascii="Playfair Display" w:eastAsia="Times New Roman" w:hAnsi="Playfair Display" w:cs="Times New Roman"/>
                <w:sz w:val="20"/>
                <w:szCs w:val="20"/>
                <w:lang w:eastAsia="hu-HU"/>
              </w:rPr>
              <w:t xml:space="preserve">A szívizomzat ingerképző és ingerületvezető apparátusa. A dpolarizációs és repolarizáció folymata, az elektro-mechanikai junkció. Az EKG keletkezése. Elektródák és helyzeteik. Az unipoláris és bipoláris elvezetések. A standard 12 elvezetéses EKG, fiziológiás görbe. Uni- és bipoláris elvezetések. Nevezéktan, az egyes hullámok azonosítása, jellemzői. </w:t>
            </w:r>
            <w:r w:rsidR="00077463">
              <w:rPr>
                <w:rFonts w:ascii="Playfair Display" w:eastAsia="Times New Roman" w:hAnsi="Playfair Display" w:cs="Times New Roman"/>
                <w:sz w:val="20"/>
                <w:szCs w:val="20"/>
                <w:lang w:eastAsia="hu-HU"/>
              </w:rPr>
              <w:t>A</w:t>
            </w:r>
            <w:r w:rsidRPr="00557C8F">
              <w:rPr>
                <w:rFonts w:ascii="Playfair Display" w:eastAsia="Times New Roman" w:hAnsi="Playfair Display" w:cs="Times New Roman"/>
                <w:sz w:val="20"/>
                <w:szCs w:val="20"/>
                <w:lang w:eastAsia="hu-HU"/>
              </w:rPr>
              <w:t xml:space="preserve"> tengelyállás jelentősége és meghatározása. A szívfrekvencia meghatározásának módjai. Ingerképzési és ingerületvezetési zavarok EKG diagnosztikája. </w:t>
            </w:r>
          </w:p>
        </w:tc>
      </w:tr>
      <w:tr w:rsidR="000E1A4E" w:rsidRPr="000043B5" w14:paraId="3E45A9CA"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FDCA40" w14:textId="4C00D729" w:rsidR="000E1A4E" w:rsidRPr="000043B5" w:rsidRDefault="000E1A4E" w:rsidP="00DE2351">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044E659" w14:textId="07EFEF5C" w:rsidR="000E1A4E" w:rsidRDefault="000E1A4E" w:rsidP="0019334C">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EKG II.: </w:t>
            </w:r>
            <w:r w:rsidRPr="00557C8F">
              <w:rPr>
                <w:rFonts w:ascii="Playfair Display" w:eastAsia="Times New Roman" w:hAnsi="Playfair Display" w:cs="Times New Roman"/>
                <w:sz w:val="20"/>
                <w:szCs w:val="20"/>
                <w:lang w:eastAsia="hu-HU"/>
              </w:rPr>
              <w:t>A ritmuszavarok alapmechanizmusai: acceleratio, pótritmus, reentry. SA és AV blokkok, intraventricularis vezetési zavarok. A jobb és bal szívfél terhelésének jelei, a pulmonalis embóliához kapcsolódó EKG eltérések. A myocardialis hypertrophia EKG jelei. Gyógyszerhatás az EKG görbén.</w:t>
            </w:r>
            <w:r>
              <w:rPr>
                <w:rFonts w:ascii="Playfair Display" w:eastAsia="Times New Roman" w:hAnsi="Playfair Display" w:cs="Times New Roman"/>
                <w:sz w:val="20"/>
                <w:szCs w:val="20"/>
                <w:lang w:eastAsia="hu-HU"/>
              </w:rPr>
              <w:t xml:space="preserve"> </w:t>
            </w:r>
            <w:r w:rsidRPr="00557C8F">
              <w:rPr>
                <w:rFonts w:ascii="Playfair Display" w:eastAsia="Times New Roman" w:hAnsi="Playfair Display" w:cs="Times New Roman"/>
                <w:sz w:val="20"/>
                <w:szCs w:val="20"/>
                <w:lang w:eastAsia="hu-HU"/>
              </w:rPr>
              <w:t>Ischamia az EKG görbén: subendocardialis, subepicardialis és transmuralis. PM az EKG diagnosztikában.</w:t>
            </w:r>
          </w:p>
        </w:tc>
      </w:tr>
      <w:tr w:rsidR="00DE2351" w:rsidRPr="000043B5" w14:paraId="7BBDF4F7"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40B1B01C" w14:textId="77777777" w:rsidR="00DE2351" w:rsidRPr="000043B5" w:rsidRDefault="00DE2351" w:rsidP="00DE2351">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2-5</w:t>
            </w:r>
            <w:r w:rsidRPr="000043B5">
              <w:rPr>
                <w:rFonts w:ascii="Playfair Display" w:eastAsia="Times New Roman" w:hAnsi="Playfair Display" w:cs="Times New Roman"/>
                <w:sz w:val="20"/>
                <w:szCs w:val="20"/>
                <w:lang w:eastAsia="hu-HU"/>
              </w:rPr>
              <w:t xml:space="preserve"> legfontosabb </w:t>
            </w:r>
            <w:r w:rsidRPr="000043B5">
              <w:rPr>
                <w:rFonts w:ascii="Playfair Display" w:eastAsia="Times New Roman" w:hAnsi="Playfair Display" w:cs="Times New Roman"/>
                <w:i/>
                <w:sz w:val="20"/>
                <w:szCs w:val="20"/>
                <w:lang w:eastAsia="hu-HU"/>
              </w:rPr>
              <w:t>kötelező,</w:t>
            </w:r>
            <w:r w:rsidRPr="000043B5">
              <w:rPr>
                <w:rFonts w:ascii="Playfair Display" w:eastAsia="Times New Roman" w:hAnsi="Playfair Display" w:cs="Times New Roman"/>
                <w:sz w:val="20"/>
                <w:szCs w:val="20"/>
                <w:lang w:eastAsia="hu-HU"/>
              </w:rPr>
              <w:t xml:space="preserve"> illetve </w:t>
            </w:r>
            <w:r w:rsidRPr="000043B5">
              <w:rPr>
                <w:rFonts w:ascii="Playfair Display" w:eastAsia="Times New Roman" w:hAnsi="Playfair Display" w:cs="Times New Roman"/>
                <w:i/>
                <w:sz w:val="20"/>
                <w:szCs w:val="20"/>
                <w:lang w:eastAsia="hu-HU"/>
              </w:rPr>
              <w:t>ajánlott</w:t>
            </w:r>
            <w:r w:rsidRPr="000043B5">
              <w:rPr>
                <w:rFonts w:ascii="Playfair Display" w:eastAsia="Times New Roman" w:hAnsi="Playfair Display" w:cs="Times New Roman"/>
                <w:b/>
                <w:i/>
                <w:sz w:val="20"/>
                <w:szCs w:val="20"/>
                <w:lang w:eastAsia="hu-HU"/>
              </w:rPr>
              <w:t xml:space="preserve"> </w:t>
            </w:r>
            <w:r w:rsidRPr="000043B5">
              <w:rPr>
                <w:rFonts w:ascii="Playfair Display" w:eastAsia="Times New Roman" w:hAnsi="Playfair Display" w:cs="Times New Roman"/>
                <w:b/>
                <w:sz w:val="20"/>
                <w:szCs w:val="20"/>
                <w:lang w:eastAsia="hu-HU"/>
              </w:rPr>
              <w:t xml:space="preserve">irodalom </w:t>
            </w:r>
            <w:r w:rsidRPr="000043B5">
              <w:rPr>
                <w:rFonts w:ascii="Playfair Display" w:eastAsia="Times New Roman" w:hAnsi="Playfair Display" w:cs="Times New Roman"/>
                <w:sz w:val="20"/>
                <w:szCs w:val="20"/>
                <w:lang w:eastAsia="hu-HU"/>
              </w:rPr>
              <w:t>(jegyzet, tankönyv) felsorolása bibliográfiai adatokkal (szerző, cím, kiadás adatai, (esetleg oldalak), ISBN)</w:t>
            </w:r>
          </w:p>
        </w:tc>
      </w:tr>
      <w:tr w:rsidR="00DE2351" w:rsidRPr="000043B5" w14:paraId="61F57441" w14:textId="77777777" w:rsidTr="00DE2351">
        <w:trPr>
          <w:jc w:val="center"/>
        </w:trPr>
        <w:tc>
          <w:tcPr>
            <w:tcW w:w="8874" w:type="dxa"/>
            <w:gridSpan w:val="3"/>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416B9CEB" w14:textId="77777777" w:rsidR="00DE2351" w:rsidRDefault="00DE2351" w:rsidP="00DE2351">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Kötelező:</w:t>
            </w:r>
          </w:p>
          <w:p w14:paraId="32752DE5" w14:textId="33669BDE" w:rsidR="00907B82" w:rsidRPr="00907B82" w:rsidRDefault="00907B82" w:rsidP="00907B82">
            <w:pPr>
              <w:pStyle w:val="Listaszerbekezds"/>
              <w:numPr>
                <w:ilvl w:val="0"/>
                <w:numId w:val="5"/>
              </w:numPr>
              <w:spacing w:after="0" w:line="240" w:lineRule="auto"/>
              <w:rPr>
                <w:rFonts w:ascii="Playfair Display" w:eastAsia="Times New Roman" w:hAnsi="Playfair Display" w:cs="Times New Roman"/>
                <w:bCs/>
                <w:sz w:val="20"/>
                <w:szCs w:val="20"/>
                <w:lang w:eastAsia="hu-HU"/>
              </w:rPr>
            </w:pPr>
            <w:r w:rsidRPr="00907B82">
              <w:rPr>
                <w:rFonts w:ascii="Playfair Display" w:eastAsia="Times New Roman" w:hAnsi="Playfair Display" w:cs="Times New Roman"/>
                <w:bCs/>
                <w:sz w:val="20"/>
                <w:szCs w:val="20"/>
                <w:lang w:eastAsia="hu-HU"/>
              </w:rPr>
              <w:t>Oktató által kiadott óravázlatok (http://oxyologia.hu)</w:t>
            </w:r>
          </w:p>
          <w:p w14:paraId="546E744C" w14:textId="21CCD1AB" w:rsidR="00907B82" w:rsidRPr="00907B82" w:rsidRDefault="00907B82" w:rsidP="00907B82">
            <w:pPr>
              <w:pStyle w:val="Listaszerbekezds"/>
              <w:numPr>
                <w:ilvl w:val="0"/>
                <w:numId w:val="5"/>
              </w:numPr>
              <w:spacing w:after="0" w:line="240" w:lineRule="auto"/>
              <w:rPr>
                <w:rFonts w:ascii="Playfair Display" w:eastAsia="Times New Roman" w:hAnsi="Playfair Display" w:cs="Times New Roman"/>
                <w:bCs/>
                <w:sz w:val="20"/>
                <w:szCs w:val="20"/>
                <w:lang w:eastAsia="hu-HU"/>
              </w:rPr>
            </w:pPr>
            <w:r w:rsidRPr="00907B82">
              <w:rPr>
                <w:rFonts w:ascii="Playfair Display" w:eastAsia="Times New Roman" w:hAnsi="Playfair Display" w:cs="Times New Roman"/>
                <w:bCs/>
                <w:sz w:val="20"/>
                <w:szCs w:val="20"/>
                <w:lang w:eastAsia="hu-HU"/>
              </w:rPr>
              <w:t>Betlehem (szerk.): A sürgősségi ellátás elméleti és gyakorlati alapjai könyv vonatkozó fejezetei</w:t>
            </w:r>
          </w:p>
          <w:p w14:paraId="3E138605" w14:textId="36F80777" w:rsidR="00DE2351" w:rsidRPr="00907B82" w:rsidRDefault="00907B82" w:rsidP="00DE2351">
            <w:pPr>
              <w:pStyle w:val="Listaszerbekezds"/>
              <w:numPr>
                <w:ilvl w:val="0"/>
                <w:numId w:val="5"/>
              </w:numPr>
              <w:spacing w:after="0" w:line="240" w:lineRule="auto"/>
              <w:rPr>
                <w:rFonts w:ascii="Playfair Display" w:eastAsia="Times New Roman" w:hAnsi="Playfair Display" w:cs="Times New Roman"/>
                <w:bCs/>
                <w:sz w:val="20"/>
                <w:szCs w:val="20"/>
                <w:lang w:eastAsia="hu-HU"/>
              </w:rPr>
            </w:pPr>
            <w:r w:rsidRPr="00907B82">
              <w:rPr>
                <w:rFonts w:ascii="Playfair Display" w:eastAsia="Times New Roman" w:hAnsi="Playfair Display" w:cs="Times New Roman"/>
                <w:bCs/>
                <w:sz w:val="20"/>
                <w:szCs w:val="20"/>
                <w:lang w:eastAsia="hu-HU"/>
              </w:rPr>
              <w:t>Radnai: Klinikai Kórélettan (oktatási segédanyag)</w:t>
            </w:r>
          </w:p>
          <w:p w14:paraId="0E0947E2" w14:textId="77777777" w:rsidR="00DE2351" w:rsidRPr="000043B5" w:rsidRDefault="00DE2351" w:rsidP="00DE2351">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Ajánlott:</w:t>
            </w:r>
          </w:p>
          <w:p w14:paraId="36C1938C" w14:textId="77777777" w:rsidR="00DE2351" w:rsidRDefault="00C206AD" w:rsidP="00C206AD">
            <w:pPr>
              <w:pStyle w:val="Listaszerbekezds"/>
              <w:numPr>
                <w:ilvl w:val="0"/>
                <w:numId w:val="5"/>
              </w:numPr>
              <w:spacing w:after="0" w:line="240" w:lineRule="auto"/>
              <w:rPr>
                <w:rFonts w:ascii="Playfair Display" w:eastAsia="Times New Roman" w:hAnsi="Playfair Display" w:cs="Times New Roman"/>
                <w:sz w:val="20"/>
                <w:szCs w:val="20"/>
                <w:lang w:eastAsia="hu-HU"/>
              </w:rPr>
            </w:pPr>
            <w:r w:rsidRPr="00C206AD">
              <w:rPr>
                <w:rFonts w:ascii="Playfair Display" w:eastAsia="Times New Roman" w:hAnsi="Playfair Display" w:cs="Times New Roman"/>
                <w:sz w:val="20"/>
                <w:szCs w:val="20"/>
                <w:lang w:eastAsia="hu-HU"/>
              </w:rPr>
              <w:t>Houghton - Gray: Az EKG helyes értelmezése (Medicina, 2005 ISBN szám: 963 242 970 2)</w:t>
            </w:r>
          </w:p>
          <w:p w14:paraId="6E9EECF5" w14:textId="3FA88C5B" w:rsidR="00C206AD" w:rsidRPr="008F028F" w:rsidRDefault="0060038D" w:rsidP="008F028F">
            <w:pPr>
              <w:pStyle w:val="Listaszerbekezds"/>
              <w:numPr>
                <w:ilvl w:val="0"/>
                <w:numId w:val="5"/>
              </w:numPr>
              <w:spacing w:after="0" w:line="240" w:lineRule="auto"/>
              <w:rPr>
                <w:rFonts w:ascii="Playfair Display" w:eastAsia="Times New Roman" w:hAnsi="Playfair Display" w:cs="Times New Roman"/>
                <w:sz w:val="20"/>
                <w:szCs w:val="20"/>
                <w:lang w:eastAsia="hu-HU"/>
              </w:rPr>
            </w:pPr>
            <w:r w:rsidRPr="0060038D">
              <w:rPr>
                <w:rFonts w:ascii="Playfair Display" w:eastAsia="Times New Roman" w:hAnsi="Playfair Display" w:cs="Times New Roman"/>
                <w:sz w:val="20"/>
                <w:szCs w:val="20"/>
                <w:lang w:eastAsia="hu-HU"/>
              </w:rPr>
              <w:t>Thaler, Malcolm S.</w:t>
            </w:r>
            <w:r>
              <w:rPr>
                <w:rFonts w:ascii="Playfair Display" w:eastAsia="Times New Roman" w:hAnsi="Playfair Display" w:cs="Times New Roman"/>
                <w:sz w:val="20"/>
                <w:szCs w:val="20"/>
                <w:lang w:eastAsia="hu-HU"/>
              </w:rPr>
              <w:t xml:space="preserve">: </w:t>
            </w:r>
            <w:r w:rsidR="00BF4E70" w:rsidRPr="00BF4E70">
              <w:rPr>
                <w:rFonts w:ascii="Playfair Display" w:eastAsia="Times New Roman" w:hAnsi="Playfair Display" w:cs="Times New Roman"/>
                <w:sz w:val="20"/>
                <w:szCs w:val="20"/>
                <w:lang w:eastAsia="hu-HU"/>
              </w:rPr>
              <w:t>Az egyetlen EKG-könyv, amire szükség lesz</w:t>
            </w:r>
            <w:r w:rsidR="00BF4E70">
              <w:rPr>
                <w:rFonts w:ascii="Playfair Display" w:eastAsia="Times New Roman" w:hAnsi="Playfair Display" w:cs="Times New Roman"/>
                <w:sz w:val="20"/>
                <w:szCs w:val="20"/>
                <w:lang w:eastAsia="hu-HU"/>
              </w:rPr>
              <w:t xml:space="preserve"> (Medicina, </w:t>
            </w:r>
            <w:r w:rsidR="008F028F">
              <w:rPr>
                <w:rFonts w:ascii="Playfair Display" w:eastAsia="Times New Roman" w:hAnsi="Playfair Display" w:cs="Times New Roman"/>
                <w:sz w:val="20"/>
                <w:szCs w:val="20"/>
                <w:lang w:eastAsia="hu-HU"/>
              </w:rPr>
              <w:t xml:space="preserve">2019 </w:t>
            </w:r>
            <w:r w:rsidR="008F028F" w:rsidRPr="008F028F">
              <w:rPr>
                <w:rFonts w:ascii="Playfair Display" w:eastAsia="Times New Roman" w:hAnsi="Playfair Display" w:cs="Times New Roman"/>
                <w:sz w:val="20"/>
                <w:szCs w:val="20"/>
                <w:lang w:eastAsia="hu-HU"/>
              </w:rPr>
              <w:t>ISBN szám:</w:t>
            </w:r>
            <w:r w:rsidR="008F028F">
              <w:rPr>
                <w:rFonts w:ascii="Playfair Display" w:eastAsia="Times New Roman" w:hAnsi="Playfair Display" w:cs="Times New Roman"/>
                <w:sz w:val="20"/>
                <w:szCs w:val="20"/>
                <w:lang w:eastAsia="hu-HU"/>
              </w:rPr>
              <w:t xml:space="preserve"> </w:t>
            </w:r>
            <w:r w:rsidR="008F028F" w:rsidRPr="008F028F">
              <w:rPr>
                <w:rFonts w:ascii="Playfair Display" w:eastAsia="Times New Roman" w:hAnsi="Playfair Display" w:cs="Times New Roman"/>
                <w:sz w:val="20"/>
                <w:szCs w:val="20"/>
                <w:lang w:eastAsia="hu-HU"/>
              </w:rPr>
              <w:t>978 963 226 731 9</w:t>
            </w:r>
            <w:r w:rsidR="008F028F">
              <w:rPr>
                <w:rFonts w:ascii="Playfair Display" w:eastAsia="Times New Roman" w:hAnsi="Playfair Display" w:cs="Times New Roman"/>
                <w:sz w:val="20"/>
                <w:szCs w:val="20"/>
                <w:lang w:eastAsia="hu-HU"/>
              </w:rPr>
              <w:t>)</w:t>
            </w:r>
          </w:p>
        </w:tc>
      </w:tr>
      <w:tr w:rsidR="00DE2351" w:rsidRPr="000043B5" w14:paraId="7B01CCD3"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2079C831" w14:textId="77777777" w:rsidR="00DE2351" w:rsidRPr="000043B5" w:rsidRDefault="00DE2351" w:rsidP="00DE2351">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Azoknak az </w:t>
            </w:r>
            <w:r w:rsidRPr="000043B5">
              <w:rPr>
                <w:rFonts w:ascii="Playfair Display" w:eastAsia="Times New Roman" w:hAnsi="Playfair Display" w:cs="Times New Roman"/>
                <w:b/>
                <w:sz w:val="20"/>
                <w:szCs w:val="20"/>
                <w:lang w:eastAsia="hu-HU"/>
              </w:rPr>
              <w:t>előírt</w:t>
            </w:r>
            <w:r w:rsidRPr="000043B5">
              <w:rPr>
                <w:rFonts w:ascii="Playfair Display" w:eastAsia="Times New Roman" w:hAnsi="Playfair Display" w:cs="Times New Roman"/>
                <w:sz w:val="20"/>
                <w:szCs w:val="20"/>
                <w:lang w:eastAsia="hu-HU"/>
              </w:rPr>
              <w:t xml:space="preserve"> s</w:t>
            </w:r>
            <w:r w:rsidRPr="000043B5">
              <w:rPr>
                <w:rFonts w:ascii="Playfair Display" w:eastAsia="Times New Roman" w:hAnsi="Playfair Display" w:cs="Times New Roman"/>
                <w:b/>
                <w:sz w:val="20"/>
                <w:szCs w:val="20"/>
                <w:lang w:eastAsia="hu-HU"/>
              </w:rPr>
              <w:t>zakmai kompetenciáknak, kompetencia-elemeknek</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(tudás, képesség</w:t>
            </w:r>
            <w:r w:rsidRPr="000043B5">
              <w:rPr>
                <w:rFonts w:ascii="Playfair Display" w:eastAsia="Times New Roman" w:hAnsi="Playfair Display" w:cs="Times New Roman"/>
                <w:sz w:val="20"/>
                <w:szCs w:val="20"/>
                <w:lang w:eastAsia="hu-HU"/>
              </w:rPr>
              <w:t xml:space="preserve"> stb., </w:t>
            </w:r>
            <w:r w:rsidRPr="000043B5">
              <w:rPr>
                <w:rFonts w:ascii="Playfair Display" w:eastAsia="Times New Roman" w:hAnsi="Playfair Display" w:cs="Times New Roman"/>
                <w:i/>
                <w:sz w:val="20"/>
                <w:szCs w:val="20"/>
                <w:lang w:eastAsia="hu-HU"/>
              </w:rPr>
              <w:t xml:space="preserve">KKK </w:t>
            </w:r>
            <w:r w:rsidRPr="000043B5">
              <w:rPr>
                <w:rFonts w:ascii="Playfair Display" w:eastAsia="Times New Roman" w:hAnsi="Playfair Display" w:cs="Times New Roman"/>
                <w:b/>
                <w:i/>
                <w:sz w:val="20"/>
                <w:szCs w:val="20"/>
                <w:lang w:eastAsia="hu-HU"/>
              </w:rPr>
              <w:t>7.</w:t>
            </w:r>
            <w:r w:rsidRPr="000043B5">
              <w:rPr>
                <w:rFonts w:ascii="Playfair Display" w:eastAsia="Times New Roman" w:hAnsi="Playfair Display" w:cs="Times New Roman"/>
                <w:i/>
                <w:sz w:val="20"/>
                <w:szCs w:val="20"/>
                <w:lang w:eastAsia="hu-HU"/>
              </w:rPr>
              <w:t xml:space="preserve"> pont</w:t>
            </w:r>
            <w:r w:rsidRPr="000043B5">
              <w:rPr>
                <w:rFonts w:ascii="Playfair Display" w:eastAsia="Times New Roman" w:hAnsi="Playfair Display" w:cs="Times New Roman"/>
                <w:sz w:val="20"/>
                <w:szCs w:val="20"/>
                <w:lang w:eastAsia="hu-HU"/>
              </w:rPr>
              <w:t xml:space="preserve">) a felsorolása, </w:t>
            </w:r>
            <w:r w:rsidRPr="000043B5">
              <w:rPr>
                <w:rFonts w:ascii="Playfair Display" w:eastAsia="Times New Roman" w:hAnsi="Playfair Display" w:cs="Times New Roman"/>
                <w:b/>
                <w:sz w:val="20"/>
                <w:szCs w:val="20"/>
                <w:lang w:eastAsia="hu-HU"/>
              </w:rPr>
              <w:t>amelyek kialakításához a tantárgy jellemzően, érdemben hozzájárul</w:t>
            </w:r>
          </w:p>
        </w:tc>
      </w:tr>
      <w:tr w:rsidR="00DE2351" w:rsidRPr="000043B5" w14:paraId="20FD1AD0" w14:textId="77777777" w:rsidTr="00DE2351">
        <w:trPr>
          <w:trHeight w:val="296"/>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14CCFF1B" w14:textId="77777777" w:rsidR="00D1004A" w:rsidRPr="00D1004A" w:rsidRDefault="00D1004A" w:rsidP="0019334C">
            <w:pPr>
              <w:suppressAutoHyphens/>
              <w:spacing w:after="0" w:line="240" w:lineRule="auto"/>
              <w:jc w:val="both"/>
              <w:rPr>
                <w:rFonts w:ascii="Playfair Display" w:eastAsia="Times New Roman" w:hAnsi="Playfair Display" w:cs="Times New Roman"/>
                <w:b/>
                <w:sz w:val="20"/>
                <w:szCs w:val="20"/>
                <w:lang w:eastAsia="hu-HU"/>
              </w:rPr>
            </w:pPr>
          </w:p>
          <w:p w14:paraId="176362E3" w14:textId="77777777" w:rsidR="00D1004A" w:rsidRPr="002F4724" w:rsidRDefault="00D1004A" w:rsidP="0019334C">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tudása</w:t>
            </w:r>
          </w:p>
          <w:p w14:paraId="5AD55B28"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gyakoribb betegségek jellegzetes makro- és mikroszkópos, strukturális elváltozásait.</w:t>
            </w:r>
          </w:p>
          <w:p w14:paraId="4616EC51"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főbb diagnosztikai módszerek, működési elvét.</w:t>
            </w:r>
          </w:p>
          <w:p w14:paraId="7874B0A5"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vitális paraméterek mérésének indikációs körét, a beavatkozások és a kapott eredmények értékelésének menetét (beleértve a köpeny és magtemperatúra, láztípusok, légzésszám-minta-típusok, pulzusszám és qualitások, pulzusdeficit, non-invazív méréssel az artériás vérnyomás meghatározását), ismeri a higiénés szükségletek kielégítésének elemeit (beleértve az alkalmazandó eszközöket, eljárásokat és indikációs kört)</w:t>
            </w:r>
          </w:p>
          <w:p w14:paraId="2FA9A640"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hazai egészségügy szervezeti felépítését és intézményrendszerét, ezen belül a mentőellátás és a sürgősségi betegellátás helyét, szerepét és kapcsolatrendszerét.</w:t>
            </w:r>
          </w:p>
          <w:p w14:paraId="1A5BA5EA"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hazai mentőellátás szervezetét, működését, az operatív mentőmunka szolgálati, működési és magatartási szabályait.</w:t>
            </w:r>
          </w:p>
          <w:p w14:paraId="48F8D27B"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lastRenderedPageBreak/>
              <w:t>Ismeri a kórházi sürgősségi ellátás intézményi szerepét, kereteit, szerveződését és feladatait, a vonatkozó jogszabályokat, a kórházi betegellátó tevékenység működési és magatartási szabályait.</w:t>
            </w:r>
          </w:p>
          <w:p w14:paraId="0CAF95AC"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prehospitális és hospitális ügyeleti és sürgősségi ellátásban használatos korszerű eszközöket, gyógyszereket, kötszereket és műszereket, azok biztonságos alkalmazását.</w:t>
            </w:r>
          </w:p>
          <w:p w14:paraId="470DAAEB"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sürgősségi ellátást igénylő kórfolyamatok kórtani alapjait, kórlefolyását, diagnosztikai lehetőségeit, az aktuális ajánlások szerinti kezelési módjait és alternatíváit.</w:t>
            </w:r>
          </w:p>
          <w:p w14:paraId="7262E57D" w14:textId="77777777" w:rsidR="00D1004A" w:rsidRPr="00D1004A" w:rsidRDefault="00D1004A" w:rsidP="0019334C">
            <w:pPr>
              <w:pStyle w:val="Listaszerbekezds"/>
              <w:numPr>
                <w:ilvl w:val="0"/>
                <w:numId w:val="10"/>
              </w:numPr>
              <w:suppressAutoHyphens/>
              <w:spacing w:after="0" w:line="240" w:lineRule="auto"/>
              <w:jc w:val="both"/>
              <w:rPr>
                <w:rFonts w:ascii="Playfair Display" w:eastAsia="Times New Roman" w:hAnsi="Playfair Display" w:cs="Times New Roman"/>
                <w:b/>
                <w:sz w:val="20"/>
                <w:szCs w:val="20"/>
                <w:lang w:eastAsia="hu-HU"/>
              </w:rPr>
            </w:pPr>
            <w:r w:rsidRPr="00D1004A">
              <w:rPr>
                <w:rFonts w:ascii="Playfair Display" w:eastAsia="Times New Roman" w:hAnsi="Playfair Display" w:cs="Times New Roman"/>
                <w:bCs/>
                <w:sz w:val="20"/>
                <w:szCs w:val="20"/>
                <w:lang w:eastAsia="hu-HU"/>
              </w:rPr>
              <w:t>Ismeri a hazai és nemzetközi, sürgősségi ellátás szempontjából releváns ajánlásokat és protokollokat.</w:t>
            </w:r>
          </w:p>
          <w:p w14:paraId="570AF0BC" w14:textId="77777777" w:rsidR="00D1004A" w:rsidRPr="00D1004A" w:rsidRDefault="00D1004A" w:rsidP="0019334C">
            <w:pPr>
              <w:suppressAutoHyphens/>
              <w:spacing w:after="0" w:line="240" w:lineRule="auto"/>
              <w:jc w:val="both"/>
              <w:rPr>
                <w:rFonts w:ascii="Playfair Display" w:eastAsia="Times New Roman" w:hAnsi="Playfair Display" w:cs="Times New Roman"/>
                <w:b/>
                <w:sz w:val="20"/>
                <w:szCs w:val="20"/>
                <w:lang w:eastAsia="hu-HU"/>
              </w:rPr>
            </w:pPr>
          </w:p>
          <w:p w14:paraId="59C22DBE" w14:textId="77777777" w:rsidR="00D1004A" w:rsidRPr="002F4724" w:rsidRDefault="00D1004A" w:rsidP="0019334C">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képességei</w:t>
            </w:r>
          </w:p>
          <w:p w14:paraId="0961BCE0"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az egészséget károsító tényezőket felismerni, az élettani és kóros működések egymástól való elkülönítésére, kompetencia szintjének megfelelő lépéseket vagy javaslatot tenni a megoldásra.</w:t>
            </w:r>
          </w:p>
          <w:p w14:paraId="0597919B"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gyakorlati munkája során alkalmazni ismereteit a jellegzetes patológiai eltérések, elváltozások kapcsán.</w:t>
            </w:r>
          </w:p>
          <w:p w14:paraId="22B98B93"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vitális paraméterek megfigyelését (beleértve a köpeny és magtemperatúra, láztípusok, légzésszám-minta-típusok, pulzusszám és qualitások, pulzusdeficit, non-invazív méréssel a vérnyomás meghatározását) önállóan kivitelezni, a kapott eredményeket értékelni.</w:t>
            </w:r>
          </w:p>
          <w:p w14:paraId="432C5CF2"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az alkalmazott gyógyszercsoportok indikációjával, hatásmechanizmusával, mellékhatásaival kapcsolatos kliensoktatási és non-invazív alkalmazási feladatok ellátására.</w:t>
            </w:r>
          </w:p>
          <w:p w14:paraId="17F681E3"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14:paraId="66E1B05D"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megszerzett ismeretek szakszerű alkalmazására valamennyi sürgősségi ellátást igénylő esetben a helyszínen, illetve a sürgősségi betegellátás rendszerében gyógyintézeti keretek között.</w:t>
            </w:r>
          </w:p>
          <w:p w14:paraId="7B37C3E3"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betegekkel kapcsolatos, szakmai protokollokban meghatározott triázs tevékenységre.</w:t>
            </w:r>
          </w:p>
          <w:p w14:paraId="2562CF1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betegellátó team munkájának a megszervezésére, irányítására, értékelésére és korrekciójára.</w:t>
            </w:r>
          </w:p>
          <w:p w14:paraId="5AAF1698"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kórházi akut ellátói team tagjaként a hospitális sürgősségi ellátásra kompetenciájának megfelelően.</w:t>
            </w:r>
          </w:p>
          <w:p w14:paraId="0A02A761"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14:paraId="22DBE5C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Halál megállapítást végez, felismeri a természetes és a rendkívüli halál körülményeit, szükség esetén további intézkedéseket kezdeményez.</w:t>
            </w:r>
          </w:p>
          <w:p w14:paraId="690A6C83"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légút átjárhatóságát műfogásokkal és segédeszközzel biztosítja és fenntartja, a légzést asszisztált módon támogatja, vagy kontrollált módon pótolja, önállóan megválasztja a megfelelő lélegeztetési módot.</w:t>
            </w:r>
          </w:p>
          <w:p w14:paraId="4FF1D566"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Meghatározott szintű procedurális szedálást, illetve szükség esetén emelt szintű légútbiztosítást végez a mindenkori érvényes protokollok mentén.</w:t>
            </w:r>
          </w:p>
          <w:p w14:paraId="0B9494E8"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Szívritmuszavart felismer és elhárít gyógyszeres, elektromos beavatkozással (kardioverzió, defibrilláció), indokolt esetben a spontán ingerképzést transztorakális non-invazív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14:paraId="5E213C81"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lastRenderedPageBreak/>
              <w:t>Gondoskodik a szövetek megfelelő vérátáramlásának, oxigén- és tápanyagellátásának biztosításáról, önállóan dönt az ezt biztosító beavatkozásokról, majd kivitelezi azokat.</w:t>
            </w:r>
          </w:p>
          <w:p w14:paraId="3C1B11DB"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központi és perifériás idegrendszer kórfolyamatait önállóan felismeri, felelősséggel tartozik a betegútért, az életveszélyt és tartós szöveti károsodást önállóan megválasztott beavatkozások kivitelezésével megelőzi.</w:t>
            </w:r>
          </w:p>
          <w:p w14:paraId="7588D519"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Felméri, és felismeri a környezeti veszélyforrásokat, azoktól a beteget, önmagát és a betegellátó-team tagjait védi, az őt érő hatásokat minimalizálja.</w:t>
            </w:r>
          </w:p>
          <w:p w14:paraId="1D64186B"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Önállóan képes a sürgősségi ellátást jellemző csoportdiagnózis megalkotására.</w:t>
            </w:r>
          </w:p>
          <w:p w14:paraId="24098FEC"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14:paraId="1DE31C6A"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Felismerve kórismealkotó lehetőségeinek vagy képességeinek korlátait, szakmai felettesével, orvossal vagy szakorvossal - együttműködés keretében - konzultál, a konzultáció eredményét értelmezi és végrehajtja.</w:t>
            </w:r>
          </w:p>
          <w:p w14:paraId="2CC5D38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beavatkozásai sikertelenségnek, a sürgősségi ellátás jellegzetességéből fakadó korlátainak felismerését követően önálló döntés keretében választ egyéb, rendelkezésére álló betegellátási alternatívák közül.</w:t>
            </w:r>
          </w:p>
          <w:p w14:paraId="3C5053F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Felelős a beteg állapotváltozásának felismeréséért, az állapotromlás megelőzéséért. Ennek érdekében dönt a betegmegfigyelés, monitorozás szükséges módjáról, mértékéről, a szükséges vizsgálatok köréről.</w:t>
            </w:r>
          </w:p>
          <w:p w14:paraId="70B1B22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Megfigyeli vagy megfigyelteti a beteg eszméleti és tudati állapotát, a légutat (annak átjárhatóságát esetleg veszélyeztetettségét), légzésszámát, légzésmélységét és légzésmintázatát, a beteg bőrét és nyálkahártyáját.</w:t>
            </w:r>
          </w:p>
          <w:p w14:paraId="6C0C34F8"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Elektrokardiogramot készít vagy készíttet, azt önállóan értékeli.</w:t>
            </w:r>
          </w:p>
          <w:p w14:paraId="2B58EDEE"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Rendszeresen méri vagy méreti a beteg oxigén-szaturációját, kilégzésvégi széndioxid mennyiségét (EtCO2), artériás vérnyomását, pulzusszámát és pulzuskvalitásait, vércukrát, testének köpeny és maghőmérsékletét.</w:t>
            </w:r>
          </w:p>
          <w:p w14:paraId="0DAC833A"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Önállóan értékeli az artériás vérgáz vizsgálat eredményét, a korrekció szükségességét és annak mértékét.</w:t>
            </w:r>
          </w:p>
          <w:p w14:paraId="2E3311A7"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Meghatározza, meghatároztatja a beteg tudatállapotának változását, az artériás középnyomást, a beteg fájdalmának intenzitását, a bevitt és ürített folyadék mennyiségét.</w:t>
            </w:r>
          </w:p>
          <w:p w14:paraId="7838F561"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sürgősségi ellátás tárgykörébe tartozó kórfolyamatok zajlásdinamikájába önállóan megválasztott terápiával beavatkozik.</w:t>
            </w:r>
          </w:p>
          <w:p w14:paraId="3C2A6F8B"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Légutat biztosít és tart fenn szupra- és infraglottikus eszközökkel, indokolt esetben konikotómia kivitelezésével.</w:t>
            </w:r>
          </w:p>
          <w:p w14:paraId="4305F127"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Életveszély elhárítása, illetve kialakulásának megakadályozása érdekében a mellüreg és a szívburok detenzionálását elvégzi, mellüregi drenázst és thorakosztómiát végez.</w:t>
            </w:r>
          </w:p>
          <w:p w14:paraId="56012DD9"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Folyadékot, elektrolitot pótol intravénás (perifériás vénás, vagy különösen indokolt esetben centrális vénás) vagy intraosszeális úton.</w:t>
            </w:r>
          </w:p>
          <w:p w14:paraId="0648BF0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Felismeri a szepszis, súlyos szepszis és szeptikus sokk jeleit, megkezdi a beteg folyadékterápiáját, meningococcaemia gyanújának esetén antibiotikus kezelését, illetve gondoskodik az ellátó team tagjainak antibiotikus profilaxisáról.</w:t>
            </w:r>
          </w:p>
          <w:p w14:paraId="2FD4C67C"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Gyógyszert juttat vagy juttattat a szervezetbe az érvényes szakmai protokolloknak megfelelő enterális és parenterális úton.</w:t>
            </w:r>
          </w:p>
          <w:p w14:paraId="10CF483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Fájdalmat csillapít pszichés vezetéssel, gyógyszeresen, hideg, meleg terápiával, az optimális testhelyzet megválasztásával vagy elősegítésével (pozicionálással).</w:t>
            </w:r>
          </w:p>
          <w:p w14:paraId="7B11E5D4"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intraosszeális út biztosítása, sebellátás, gipsz felhelyezése.</w:t>
            </w:r>
          </w:p>
          <w:p w14:paraId="78AAE847"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fájdalmat gyógyszeresen, eszközösen csillapítja, a beteget szedálja.</w:t>
            </w:r>
          </w:p>
          <w:p w14:paraId="4F9DEC25"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lastRenderedPageBreak/>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14:paraId="7879271F"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sérült testhelyzetét megválasztja.</w:t>
            </w:r>
          </w:p>
          <w:p w14:paraId="5ADECEBD"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Gondoskodik a hatásos fájdalomcsillapításról, a megfelelő folyadékpótlásról.</w:t>
            </w:r>
          </w:p>
          <w:p w14:paraId="30AE19E1" w14:textId="77777777" w:rsidR="00D1004A" w:rsidRPr="00D1004A" w:rsidRDefault="00D1004A" w:rsidP="0019334C">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Katéter segítségével biztosítja a vizelet akadálytalan elvezetését.</w:t>
            </w:r>
          </w:p>
          <w:p w14:paraId="222391D3" w14:textId="77777777" w:rsidR="00D1004A" w:rsidRPr="00D1004A" w:rsidRDefault="00D1004A" w:rsidP="0019334C">
            <w:pPr>
              <w:suppressAutoHyphens/>
              <w:spacing w:after="0" w:line="240" w:lineRule="auto"/>
              <w:jc w:val="both"/>
              <w:rPr>
                <w:rFonts w:ascii="Playfair Display" w:eastAsia="Times New Roman" w:hAnsi="Playfair Display" w:cs="Times New Roman"/>
                <w:b/>
                <w:sz w:val="20"/>
                <w:szCs w:val="20"/>
                <w:lang w:eastAsia="hu-HU"/>
              </w:rPr>
            </w:pPr>
          </w:p>
          <w:p w14:paraId="499E1143" w14:textId="77777777" w:rsidR="00D1004A" w:rsidRPr="002F4724" w:rsidRDefault="00D1004A" w:rsidP="0019334C">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attitűd</w:t>
            </w:r>
          </w:p>
          <w:p w14:paraId="5009075D"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Munkája során betartja az egészségügyi dolgozókra vonatkozó kötelezettségeket, és felismeri felelősségének határait.</w:t>
            </w:r>
          </w:p>
          <w:p w14:paraId="056C5454"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Értékelni tud lehetőségeket, mérlegelni tud kockázatokat, alternatívákat és következményeket, képes kompromisszumos megoldásokra.</w:t>
            </w:r>
          </w:p>
          <w:p w14:paraId="27EBD051"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Azonosul az erőforrások költségtudatos felhasználásával, nyitott az ellátás minőségének javítását célzó változtatásokra.</w:t>
            </w:r>
          </w:p>
          <w:p w14:paraId="1CA376F0"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Nyitott és fogékony az egészség- és orvostudomány tudományosan bizonyított szakmai alapjainak megismerésére és alkalmazására.</w:t>
            </w:r>
          </w:p>
          <w:p w14:paraId="4616A1EA"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Kezdeményezi és elfogadja a csapatszellemű betegellátást, felismeri a kollektív munka értékeit, igényli a döntései kritikáját, törekszik a konzultatív döntéshozatalra.</w:t>
            </w:r>
          </w:p>
          <w:p w14:paraId="6D4E67D8"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Nyitott a szakmai konzultációra, a betegellátókkal kommunikációt kezdeményez, annak eredményét értékeli és nyitott az alternatíva befogadására.</w:t>
            </w:r>
          </w:p>
          <w:p w14:paraId="73F2C180"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Igényli a szakmai fejlődést, nyitott az új tudományos eredmények befogadására, törekszik azok megismerésére.</w:t>
            </w:r>
          </w:p>
          <w:p w14:paraId="42F64B67"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bajbajutott beteghez empátiával viszonyul, fontosnak tartja a kommunikációt, felismeri a beteg ezirányú szükségleteit és igényét.</w:t>
            </w:r>
          </w:p>
          <w:p w14:paraId="7DB78AA7"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Elkötelezett a minőségi betegellátó tevékenység iránt, saját és kollégái munkáját indokolt esetben, az ennek történő megfelelés érdekében kritikával illeti.</w:t>
            </w:r>
          </w:p>
          <w:p w14:paraId="054F1984" w14:textId="77777777" w:rsidR="00D1004A" w:rsidRPr="00D1004A" w:rsidRDefault="00D1004A" w:rsidP="0019334C">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Vállalja a szakismeretek széles körben történő terjesztését (public notification), az egészségpropagandát, a betegtájékoztatást.</w:t>
            </w:r>
          </w:p>
          <w:p w14:paraId="46927F58" w14:textId="77777777" w:rsidR="00D1004A" w:rsidRPr="00D1004A" w:rsidRDefault="00D1004A" w:rsidP="0019334C">
            <w:pPr>
              <w:suppressAutoHyphens/>
              <w:spacing w:after="0" w:line="240" w:lineRule="auto"/>
              <w:jc w:val="both"/>
              <w:rPr>
                <w:rFonts w:ascii="Playfair Display" w:eastAsia="Times New Roman" w:hAnsi="Playfair Display" w:cs="Times New Roman"/>
                <w:b/>
                <w:sz w:val="20"/>
                <w:szCs w:val="20"/>
                <w:lang w:eastAsia="hu-HU"/>
              </w:rPr>
            </w:pPr>
          </w:p>
          <w:p w14:paraId="7D2C3B1E" w14:textId="77777777" w:rsidR="00D1004A" w:rsidRPr="002F4724" w:rsidRDefault="00D1004A" w:rsidP="0019334C">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autonómia és felelősség</w:t>
            </w:r>
          </w:p>
          <w:p w14:paraId="24E4DA2C"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Szakmai fejlődésének tudatos és felelős irányítója, hivatását felelősen, tudományos és gyakorlati megalapozottsággal képviseli.</w:t>
            </w:r>
          </w:p>
          <w:p w14:paraId="7A928F97"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Felelősen cselekszik sürgős szükség esetén.</w:t>
            </w:r>
          </w:p>
          <w:p w14:paraId="639B8A3E"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beteg életét közvetve vagy közvetlenül veszélyeztető kórfolyamatokba, azok felismerését követően késlekedés nélkül önállóan beavatkozik, ennek keretében életmentő beavatkozásokat végez, az életkori sajátosságok figyelembevételével.</w:t>
            </w:r>
          </w:p>
          <w:p w14:paraId="61134610"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Komplex újraélesztést végez, egységvezetőként vezet.</w:t>
            </w:r>
          </w:p>
          <w:p w14:paraId="3B73AFFA"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sérültet önállóan ellátja, a sérült testtájékot szakszerűen rögzíti, immobilizálja.</w:t>
            </w:r>
          </w:p>
          <w:p w14:paraId="6032CD54"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Az égett beteget önállóan ellátja: meghatározza az égés kiterjedését, súlyosságát.</w:t>
            </w:r>
          </w:p>
          <w:p w14:paraId="17FC029C"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légúti égést időben felismeri, fennállása esetén a beteget szakszerűen ellátja.</w:t>
            </w:r>
          </w:p>
          <w:p w14:paraId="39FCCE26"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Törekszik az égéssel összefüggő fertőzések és szövődmények megelőzésére.</w:t>
            </w:r>
          </w:p>
          <w:p w14:paraId="327D597A"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Felelős a betegellátó team testi épségének megőrzéséért.</w:t>
            </w:r>
          </w:p>
          <w:p w14:paraId="0DDE76B7"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helyszíni ellátás keretében önállóan, 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w:t>
            </w:r>
          </w:p>
          <w:p w14:paraId="2A7CF258" w14:textId="77777777" w:rsidR="00D1004A"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Kórházi sürgősségi betegellátóként önállóan képes komplex újraélesztésre csapattagként, csapatvezetőként, észleli és értékeli a betegek vitális paramétereit, a rendelkezésre álló információk alapján azonnali döntéseket hoz.</w:t>
            </w:r>
          </w:p>
          <w:p w14:paraId="023406FF" w14:textId="1973B4D5" w:rsidR="00DE2351" w:rsidRPr="00D1004A" w:rsidRDefault="00D1004A" w:rsidP="0019334C">
            <w:pPr>
              <w:pStyle w:val="Listaszerbekezds"/>
              <w:numPr>
                <w:ilvl w:val="0"/>
                <w:numId w:val="7"/>
              </w:numPr>
              <w:suppressAutoHyphens/>
              <w:spacing w:after="0" w:line="240" w:lineRule="auto"/>
              <w:jc w:val="both"/>
              <w:rPr>
                <w:rFonts w:ascii="Playfair Display" w:eastAsia="Times New Roman" w:hAnsi="Playfair Display" w:cs="Times New Roman"/>
                <w:b/>
                <w:sz w:val="20"/>
                <w:szCs w:val="20"/>
                <w:lang w:eastAsia="hu-HU"/>
              </w:rPr>
            </w:pPr>
            <w:r w:rsidRPr="00D1004A">
              <w:rPr>
                <w:rFonts w:ascii="Playfair Display" w:eastAsia="Times New Roman" w:hAnsi="Playfair Display" w:cs="Times New Roman"/>
                <w:bCs/>
                <w:sz w:val="20"/>
                <w:szCs w:val="20"/>
                <w:lang w:eastAsia="hu-HU"/>
              </w:rPr>
              <w:t>Az intra- és interhospitális transzportot koordinálja, véghezviszi.</w:t>
            </w:r>
          </w:p>
        </w:tc>
      </w:tr>
      <w:tr w:rsidR="00DE2351" w:rsidRPr="00EB0B9B" w14:paraId="27E3DFB6" w14:textId="77777777" w:rsidTr="00DE2351">
        <w:trPr>
          <w:trHeight w:val="338"/>
          <w:jc w:val="center"/>
        </w:trPr>
        <w:tc>
          <w:tcPr>
            <w:tcW w:w="8874" w:type="dxa"/>
            <w:gridSpan w:val="3"/>
            <w:shd w:val="clear" w:color="auto" w:fill="auto"/>
            <w:tcMar>
              <w:top w:w="57" w:type="dxa"/>
              <w:bottom w:w="57" w:type="dxa"/>
            </w:tcMar>
          </w:tcPr>
          <w:p w14:paraId="28FA5D8E" w14:textId="451D2F19" w:rsidR="00DE2351" w:rsidRPr="00EB0B9B" w:rsidRDefault="00DE2351" w:rsidP="00DE2351">
            <w:pPr>
              <w:suppressAutoHyphens/>
              <w:jc w:val="both"/>
              <w:rPr>
                <w:rFonts w:ascii="Playfair Display" w:hAnsi="Playfair Display"/>
                <w:b/>
              </w:rPr>
            </w:pPr>
            <w:r w:rsidRPr="00EB0B9B">
              <w:rPr>
                <w:rFonts w:ascii="Playfair Display" w:hAnsi="Playfair Display"/>
                <w:b/>
              </w:rPr>
              <w:lastRenderedPageBreak/>
              <w:t xml:space="preserve">Tantárgy felelőse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sidRPr="00EB0B9B">
              <w:rPr>
                <w:rFonts w:ascii="Playfair Display" w:hAnsi="Playfair Display"/>
                <w:b/>
              </w:rPr>
              <w:t>:</w:t>
            </w:r>
          </w:p>
        </w:tc>
      </w:tr>
      <w:tr w:rsidR="00DE2351" w:rsidRPr="00EB0B9B" w14:paraId="5AD7EF17" w14:textId="77777777" w:rsidTr="00DE2351">
        <w:trPr>
          <w:trHeight w:val="337"/>
          <w:jc w:val="center"/>
        </w:trPr>
        <w:tc>
          <w:tcPr>
            <w:tcW w:w="8874" w:type="dxa"/>
            <w:gridSpan w:val="3"/>
            <w:shd w:val="clear" w:color="auto" w:fill="auto"/>
            <w:tcMar>
              <w:top w:w="57" w:type="dxa"/>
              <w:bottom w:w="57" w:type="dxa"/>
            </w:tcMar>
          </w:tcPr>
          <w:p w14:paraId="6C0A1BC3" w14:textId="77777777" w:rsidR="00DE2351" w:rsidRPr="000043B5" w:rsidRDefault="00DE2351" w:rsidP="00DE2351">
            <w:pPr>
              <w:suppressAutoHyphens/>
              <w:jc w:val="both"/>
              <w:rPr>
                <w:rFonts w:ascii="Playfair Display" w:hAnsi="Playfair Display"/>
                <w:b/>
              </w:rPr>
            </w:pPr>
            <w:r w:rsidRPr="00EB0B9B">
              <w:rPr>
                <w:rFonts w:ascii="Playfair Display" w:hAnsi="Playfair Display"/>
                <w:b/>
              </w:rPr>
              <w:t xml:space="preserve">Tantárgy oktatásába bevont oktató(k), </w:t>
            </w:r>
            <w:r w:rsidRPr="00EB0B9B">
              <w:rPr>
                <w:rFonts w:ascii="Playfair Display" w:hAnsi="Playfair Display"/>
              </w:rPr>
              <w:t>ha van(nak)</w:t>
            </w:r>
            <w:r w:rsidRPr="00EB0B9B">
              <w:rPr>
                <w:rFonts w:ascii="Playfair Display" w:hAnsi="Playfair Display"/>
                <w:b/>
              </w:rPr>
              <w:t xml:space="preserv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Pr>
                <w:rFonts w:ascii="Playfair Display" w:hAnsi="Playfair Display"/>
                <w:b/>
              </w:rPr>
              <w:t>:</w:t>
            </w:r>
          </w:p>
        </w:tc>
      </w:tr>
    </w:tbl>
    <w:p w14:paraId="28FC2AE3" w14:textId="77777777" w:rsidR="00DE2351" w:rsidRDefault="00DE2351" w:rsidP="002D1C93">
      <w:pPr>
        <w:spacing w:after="0" w:line="240" w:lineRule="auto"/>
        <w:rPr>
          <w:rFonts w:ascii="Playfair Display" w:eastAsia="Times New Roman" w:hAnsi="Playfair Display" w:cs="Times New Roman"/>
          <w:sz w:val="20"/>
          <w:szCs w:val="20"/>
          <w:lang w:eastAsia="hu-HU"/>
        </w:rPr>
      </w:pPr>
    </w:p>
    <w:sectPr w:rsidR="00DE23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C042" w14:textId="77777777" w:rsidR="00C25120" w:rsidRDefault="00C25120" w:rsidP="00DE2351">
      <w:pPr>
        <w:spacing w:after="0" w:line="240" w:lineRule="auto"/>
      </w:pPr>
      <w:r>
        <w:separator/>
      </w:r>
    </w:p>
  </w:endnote>
  <w:endnote w:type="continuationSeparator" w:id="0">
    <w:p w14:paraId="5341D954" w14:textId="77777777" w:rsidR="00C25120" w:rsidRDefault="00C25120" w:rsidP="00DE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4377" w14:textId="77777777" w:rsidR="00C25120" w:rsidRDefault="00C25120" w:rsidP="00DE2351">
      <w:pPr>
        <w:spacing w:after="0" w:line="240" w:lineRule="auto"/>
      </w:pPr>
      <w:r>
        <w:separator/>
      </w:r>
    </w:p>
  </w:footnote>
  <w:footnote w:type="continuationSeparator" w:id="0">
    <w:p w14:paraId="41909DBA" w14:textId="77777777" w:rsidR="00C25120" w:rsidRDefault="00C25120" w:rsidP="00DE2351">
      <w:pPr>
        <w:spacing w:after="0" w:line="240" w:lineRule="auto"/>
      </w:pPr>
      <w:r>
        <w:continuationSeparator/>
      </w:r>
    </w:p>
  </w:footnote>
  <w:footnote w:id="1">
    <w:p w14:paraId="1A077C14" w14:textId="77777777" w:rsidR="00DE2351" w:rsidRPr="00A5216A" w:rsidRDefault="00DE2351" w:rsidP="00DE2351">
      <w:pPr>
        <w:pStyle w:val="Lbjegyzetszveg"/>
        <w:ind w:left="142" w:hanging="142"/>
        <w:rPr>
          <w:sz w:val="4"/>
          <w:szCs w:val="4"/>
        </w:rPr>
      </w:pPr>
    </w:p>
    <w:p w14:paraId="2C2FC749" w14:textId="77777777" w:rsidR="00DE2351" w:rsidRPr="0003723C" w:rsidRDefault="00DE2351" w:rsidP="00DE2351">
      <w:pPr>
        <w:pStyle w:val="Lbjegyzetszveg"/>
        <w:ind w:left="142"/>
      </w:pPr>
      <w:r w:rsidRPr="00CD5314">
        <w:rPr>
          <w:rStyle w:val="Lbjegyzet-hivatkozs"/>
        </w:rPr>
        <w:footnoteRef/>
      </w:r>
      <w:r w:rsidRPr="0003723C">
        <w:t xml:space="preserve"> </w:t>
      </w:r>
      <w:r w:rsidRPr="00576C00">
        <w:rPr>
          <w:b/>
        </w:rPr>
        <w:t>N</w:t>
      </w:r>
      <w:r w:rsidRPr="0003723C">
        <w:rPr>
          <w:b/>
          <w:bCs/>
        </w:rPr>
        <w:t xml:space="preserve">ftv.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14:paraId="3FFD01F4" w14:textId="77777777" w:rsidR="00DE2351" w:rsidRPr="00CD5314" w:rsidRDefault="00DE2351" w:rsidP="00DE2351">
      <w:pPr>
        <w:pStyle w:val="Lbjegyzetszveg"/>
        <w:ind w:left="142"/>
      </w:pPr>
      <w:r w:rsidRPr="00CD5314">
        <w:rPr>
          <w:rStyle w:val="Lbjegyzet-hivatkozs"/>
        </w:rPr>
        <w:footnoteRef/>
      </w:r>
      <w:r w:rsidRPr="00CD5314">
        <w:rPr>
          <w:b/>
        </w:rPr>
        <w:t xml:space="preserve"> </w:t>
      </w:r>
      <w:r w:rsidRPr="00CD5314">
        <w:t>pl. esetismertetések, szerepjáték, tematikus prezentációk stb.</w:t>
      </w:r>
    </w:p>
  </w:footnote>
  <w:footnote w:id="3">
    <w:p w14:paraId="6840BD96" w14:textId="77777777" w:rsidR="00DE2351" w:rsidRPr="00CD5314" w:rsidRDefault="00DE2351" w:rsidP="00DE2351">
      <w:pPr>
        <w:pStyle w:val="Lbjegyzetszveg"/>
        <w:ind w:left="142"/>
      </w:pPr>
      <w:r w:rsidRPr="00CD5314">
        <w:rPr>
          <w:rStyle w:val="Lbjegyzet-hivatkozs"/>
        </w:rPr>
        <w:footnoteRef/>
      </w:r>
      <w:r w:rsidRPr="00CD5314">
        <w:t xml:space="preserve"> pl. folyamatos számonkérés, évközi beszámoló</w:t>
      </w:r>
    </w:p>
  </w:footnote>
  <w:footnote w:id="4">
    <w:p w14:paraId="16B61C6E" w14:textId="77777777" w:rsidR="00DE2351" w:rsidRPr="00CD5314" w:rsidRDefault="00DE2351" w:rsidP="00DE2351">
      <w:pPr>
        <w:pStyle w:val="Lbjegyzetszveg"/>
        <w:ind w:left="142"/>
      </w:pPr>
      <w:r w:rsidRPr="00CD5314">
        <w:rPr>
          <w:rStyle w:val="Lbjegyzet-hivatkozs"/>
        </w:rPr>
        <w:footnoteRef/>
      </w:r>
      <w:r w:rsidRPr="00CD5314">
        <w:t xml:space="preserve"> pl. esettanulmányok, témakidolgozások, dolgozatok, esszék, üzleti, szervezési tervek stb. bekérése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55B"/>
    <w:multiLevelType w:val="hybridMultilevel"/>
    <w:tmpl w:val="7D129980"/>
    <w:lvl w:ilvl="0" w:tplc="A8E01120">
      <w:start w:val="1"/>
      <w:numFmt w:val="decimal"/>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6305C1"/>
    <w:multiLevelType w:val="hybridMultilevel"/>
    <w:tmpl w:val="B4A8FF72"/>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C66696"/>
    <w:multiLevelType w:val="hybridMultilevel"/>
    <w:tmpl w:val="D1320AA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734B51"/>
    <w:multiLevelType w:val="hybridMultilevel"/>
    <w:tmpl w:val="9EBE719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290845"/>
    <w:multiLevelType w:val="hybridMultilevel"/>
    <w:tmpl w:val="025A9B56"/>
    <w:lvl w:ilvl="0" w:tplc="0254C20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7F96927"/>
    <w:multiLevelType w:val="hybridMultilevel"/>
    <w:tmpl w:val="6C5A2E70"/>
    <w:lvl w:ilvl="0" w:tplc="2E5CF0EE">
      <w:start w:val="3"/>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48121826"/>
    <w:multiLevelType w:val="hybridMultilevel"/>
    <w:tmpl w:val="9EB621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9145008"/>
    <w:multiLevelType w:val="hybridMultilevel"/>
    <w:tmpl w:val="1062FA62"/>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EC502F"/>
    <w:multiLevelType w:val="hybridMultilevel"/>
    <w:tmpl w:val="DF2A0800"/>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0AF702D"/>
    <w:multiLevelType w:val="hybridMultilevel"/>
    <w:tmpl w:val="5DDADA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16D582F"/>
    <w:multiLevelType w:val="hybridMultilevel"/>
    <w:tmpl w:val="7C0E99AC"/>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95709082">
    <w:abstractNumId w:val="5"/>
  </w:num>
  <w:num w:numId="2" w16cid:durableId="1186358820">
    <w:abstractNumId w:val="4"/>
  </w:num>
  <w:num w:numId="3" w16cid:durableId="1383019487">
    <w:abstractNumId w:val="3"/>
  </w:num>
  <w:num w:numId="4" w16cid:durableId="821123558">
    <w:abstractNumId w:val="2"/>
  </w:num>
  <w:num w:numId="5" w16cid:durableId="163325784">
    <w:abstractNumId w:val="9"/>
  </w:num>
  <w:num w:numId="6" w16cid:durableId="1709799735">
    <w:abstractNumId w:val="0"/>
  </w:num>
  <w:num w:numId="7" w16cid:durableId="1352411952">
    <w:abstractNumId w:val="10"/>
  </w:num>
  <w:num w:numId="8" w16cid:durableId="1980648147">
    <w:abstractNumId w:val="8"/>
  </w:num>
  <w:num w:numId="9" w16cid:durableId="1364868198">
    <w:abstractNumId w:val="7"/>
  </w:num>
  <w:num w:numId="10" w16cid:durableId="90782144">
    <w:abstractNumId w:val="1"/>
  </w:num>
  <w:num w:numId="11" w16cid:durableId="20865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1"/>
    <w:rsid w:val="000034B0"/>
    <w:rsid w:val="0007452A"/>
    <w:rsid w:val="00077463"/>
    <w:rsid w:val="000E1A4E"/>
    <w:rsid w:val="000E715B"/>
    <w:rsid w:val="00114316"/>
    <w:rsid w:val="00157DF9"/>
    <w:rsid w:val="0019334C"/>
    <w:rsid w:val="001F0F57"/>
    <w:rsid w:val="00284F56"/>
    <w:rsid w:val="00297B71"/>
    <w:rsid w:val="002D1C93"/>
    <w:rsid w:val="002D636B"/>
    <w:rsid w:val="002F4724"/>
    <w:rsid w:val="004314B3"/>
    <w:rsid w:val="00457BAC"/>
    <w:rsid w:val="004D78A6"/>
    <w:rsid w:val="004F6D64"/>
    <w:rsid w:val="00557C8F"/>
    <w:rsid w:val="0058395E"/>
    <w:rsid w:val="0060038D"/>
    <w:rsid w:val="00715A53"/>
    <w:rsid w:val="0072660B"/>
    <w:rsid w:val="00822E4B"/>
    <w:rsid w:val="00885E05"/>
    <w:rsid w:val="008B680E"/>
    <w:rsid w:val="008C150A"/>
    <w:rsid w:val="008F028F"/>
    <w:rsid w:val="00907B82"/>
    <w:rsid w:val="00992A96"/>
    <w:rsid w:val="00AB021D"/>
    <w:rsid w:val="00BD4EAE"/>
    <w:rsid w:val="00BF4E70"/>
    <w:rsid w:val="00C206AD"/>
    <w:rsid w:val="00C25120"/>
    <w:rsid w:val="00C814C4"/>
    <w:rsid w:val="00D1004A"/>
    <w:rsid w:val="00D27FE5"/>
    <w:rsid w:val="00DE2351"/>
    <w:rsid w:val="00E65F5F"/>
    <w:rsid w:val="00E86B71"/>
    <w:rsid w:val="00F263BC"/>
    <w:rsid w:val="00F3325F"/>
    <w:rsid w:val="00F540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25E9"/>
  <w15:chartTrackingRefBased/>
  <w15:docId w15:val="{51A04819-D25A-411A-84DE-6BBFA55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2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qFormat/>
    <w:rsid w:val="00DE2351"/>
    <w:rPr>
      <w:vertAlign w:val="superscript"/>
    </w:rPr>
  </w:style>
  <w:style w:type="paragraph" w:styleId="Lbjegyzetszveg">
    <w:name w:val="footnote text"/>
    <w:basedOn w:val="Norml"/>
    <w:link w:val="LbjegyzetszvegChar"/>
    <w:rsid w:val="00DE235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qFormat/>
    <w:rsid w:val="00DE2351"/>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DE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5211A-5D46-4A1B-93B6-8E3162B3E4C0}">
  <ds:schemaRefs>
    <ds:schemaRef ds:uri="http://schemas.microsoft.com/sharepoint/v3/contenttype/forms"/>
  </ds:schemaRefs>
</ds:datastoreItem>
</file>

<file path=customXml/itemProps2.xml><?xml version="1.0" encoding="utf-8"?>
<ds:datastoreItem xmlns:ds="http://schemas.openxmlformats.org/officeDocument/2006/customXml" ds:itemID="{A55BB072-AFF7-4E31-8823-64ECEFBA2216}">
  <ds:schemaRefs>
    <ds:schemaRef ds:uri="http://schemas.openxmlformats.org/officeDocument/2006/bibliography"/>
  </ds:schemaRefs>
</ds:datastoreItem>
</file>

<file path=customXml/itemProps3.xml><?xml version="1.0" encoding="utf-8"?>
<ds:datastoreItem xmlns:ds="http://schemas.openxmlformats.org/officeDocument/2006/customXml" ds:itemID="{768FB30F-F134-4853-98A1-1A073A08E24A}">
  <ds:schemaRefs>
    <ds:schemaRef ds:uri="http://schemas.microsoft.com/office/2006/metadata/properties"/>
    <ds:schemaRef ds:uri="http://schemas.microsoft.com/office/infopath/2007/PartnerControls"/>
    <ds:schemaRef ds:uri="ed487125-6329-4991-b5f3-753eb9803dbb"/>
    <ds:schemaRef ds:uri="d4b14625-c4e4-4953-bfea-b57e488ae3dd"/>
  </ds:schemaRefs>
</ds:datastoreItem>
</file>

<file path=customXml/itemProps4.xml><?xml version="1.0" encoding="utf-8"?>
<ds:datastoreItem xmlns:ds="http://schemas.openxmlformats.org/officeDocument/2006/customXml" ds:itemID="{31C524E3-6DFC-4909-B15E-C3B5185A6895}"/>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16695</Characters>
  <Application>Microsoft Office Word</Application>
  <DocSecurity>4</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Kungl Anikó</dc:creator>
  <cp:keywords/>
  <dc:description/>
  <cp:lastModifiedBy>Bencsik Anna</cp:lastModifiedBy>
  <cp:revision>2</cp:revision>
  <dcterms:created xsi:type="dcterms:W3CDTF">2023-10-26T11:50:00Z</dcterms:created>
  <dcterms:modified xsi:type="dcterms:W3CDTF">2023-10-26T11:50:00Z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MediaServiceImageTags">
    <vt:lpwstr/>
  </property>
  <property fmtid="{D5CDD505-2E9C-101B-9397-08002B2CF9AE}" pid="4" name="Order">
    <vt:r8>318900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