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89"/>
        <w:gridCol w:w="5704"/>
        <w:gridCol w:w="2181"/>
      </w:tblGrid>
      <w:tr w:rsidRPr="000043B5" w:rsidR="00DE2351" w:rsidTr="476229D4" w14:paraId="5B5EC66B" w14:textId="77777777">
        <w:trPr>
          <w:jc w:val="center"/>
        </w:trPr>
        <w:tc>
          <w:tcPr>
            <w:tcW w:w="6693" w:type="dxa"/>
            <w:gridSpan w:val="2"/>
            <w:tcBorders>
              <w:top w:val="single" w:color="auto" w:sz="4" w:space="0"/>
              <w:left w:val="single" w:color="auto" w:sz="4" w:space="0"/>
              <w:right w:val="single" w:color="auto" w:sz="4" w:space="0"/>
            </w:tcBorders>
            <w:shd w:val="clear" w:color="auto" w:fill="auto"/>
            <w:tcMar>
              <w:top w:w="57" w:type="dxa"/>
              <w:bottom w:w="57" w:type="dxa"/>
            </w:tcMar>
          </w:tcPr>
          <w:p w:rsidRPr="00DE2351" w:rsidR="00DE2351" w:rsidP="00254EA5" w:rsidRDefault="00DE2351" w14:paraId="3E284FF6" w14:textId="2841E730">
            <w:pPr>
              <w:suppressAutoHyphens/>
              <w:spacing w:after="0" w:line="240" w:lineRule="auto"/>
              <w:jc w:val="both"/>
              <w:rPr>
                <w:rFonts w:ascii="Playfair Display" w:hAnsi="Playfair Display" w:eastAsia="Times New Roman" w:cs="Times New Roman"/>
                <w:b/>
                <w:i/>
                <w:sz w:val="20"/>
                <w:szCs w:val="20"/>
                <w:lang w:eastAsia="hu-HU"/>
              </w:rPr>
            </w:pPr>
            <w:r w:rsidRPr="00DE2351">
              <w:rPr>
                <w:rFonts w:ascii="Playfair Display" w:hAnsi="Playfair Display" w:eastAsia="Times New Roman" w:cs="Times New Roman"/>
                <w:b/>
                <w:sz w:val="20"/>
                <w:szCs w:val="20"/>
                <w:lang w:eastAsia="hu-HU"/>
              </w:rPr>
              <w:t xml:space="preserve">Tantárgy neve: </w:t>
            </w:r>
            <w:r w:rsidR="00F540DF">
              <w:rPr>
                <w:rFonts w:ascii="Playfair Display" w:hAnsi="Playfair Display" w:eastAsia="Times New Roman" w:cs="Times New Roman"/>
                <w:b/>
                <w:sz w:val="20"/>
                <w:szCs w:val="20"/>
                <w:lang w:eastAsia="hu-HU"/>
              </w:rPr>
              <w:t xml:space="preserve">OXYOLÓGIA </w:t>
            </w:r>
            <w:r w:rsidR="00D66ED7">
              <w:rPr>
                <w:rFonts w:ascii="Playfair Display" w:hAnsi="Playfair Display" w:eastAsia="Times New Roman" w:cs="Times New Roman"/>
                <w:b/>
                <w:sz w:val="20"/>
                <w:szCs w:val="20"/>
                <w:lang w:eastAsia="hu-HU"/>
              </w:rPr>
              <w:t>I</w:t>
            </w:r>
            <w:r w:rsidR="00F540DF">
              <w:rPr>
                <w:rFonts w:ascii="Playfair Display" w:hAnsi="Playfair Display" w:eastAsia="Times New Roman" w:cs="Times New Roman"/>
                <w:b/>
                <w:sz w:val="20"/>
                <w:szCs w:val="20"/>
                <w:lang w:eastAsia="hu-HU"/>
              </w:rPr>
              <w:t>I.</w:t>
            </w:r>
          </w:p>
        </w:tc>
        <w:tc>
          <w:tcPr>
            <w:tcW w:w="2181" w:type="dxa"/>
            <w:tcBorders>
              <w:top w:val="single" w:color="auto" w:sz="4" w:space="0"/>
              <w:left w:val="single" w:color="auto" w:sz="4" w:space="0"/>
              <w:right w:val="single" w:color="auto" w:sz="4" w:space="0"/>
            </w:tcBorders>
            <w:shd w:val="clear" w:color="auto" w:fill="auto"/>
            <w:tcMar>
              <w:top w:w="57" w:type="dxa"/>
              <w:bottom w:w="57" w:type="dxa"/>
            </w:tcMar>
          </w:tcPr>
          <w:p w:rsidRPr="000043B5" w:rsidR="00DE2351" w:rsidP="00254EA5" w:rsidRDefault="00DE2351" w14:paraId="2B9056CD" w14:textId="3DD1F52E">
            <w:pPr>
              <w:suppressAutoHyphens/>
              <w:spacing w:after="0" w:line="240" w:lineRule="auto"/>
              <w:jc w:val="both"/>
              <w:rPr>
                <w:rFonts w:ascii="Playfair Display" w:hAnsi="Playfair Display" w:eastAsia="Times New Roman" w:cs="Times New Roman"/>
                <w:b/>
                <w:sz w:val="20"/>
                <w:szCs w:val="20"/>
                <w:lang w:eastAsia="hu-HU"/>
              </w:rPr>
            </w:pPr>
            <w:r w:rsidRPr="000043B5">
              <w:rPr>
                <w:rFonts w:ascii="Playfair Display" w:hAnsi="Playfair Display" w:eastAsia="Times New Roman" w:cs="Times New Roman"/>
                <w:b/>
                <w:sz w:val="20"/>
                <w:szCs w:val="20"/>
                <w:lang w:eastAsia="hu-HU"/>
              </w:rPr>
              <w:t>K</w:t>
            </w:r>
            <w:r>
              <w:rPr>
                <w:rFonts w:ascii="Playfair Display" w:hAnsi="Playfair Display" w:eastAsia="Times New Roman" w:cs="Times New Roman"/>
                <w:b/>
                <w:sz w:val="20"/>
                <w:szCs w:val="20"/>
                <w:lang w:eastAsia="hu-HU"/>
              </w:rPr>
              <w:t>reditértéke:</w:t>
            </w:r>
            <w:r w:rsidR="00F540DF">
              <w:rPr>
                <w:rFonts w:ascii="Playfair Display" w:hAnsi="Playfair Display" w:eastAsia="Times New Roman" w:cs="Times New Roman"/>
                <w:b/>
                <w:sz w:val="20"/>
                <w:szCs w:val="20"/>
                <w:lang w:eastAsia="hu-HU"/>
              </w:rPr>
              <w:t xml:space="preserve"> </w:t>
            </w:r>
            <w:r w:rsidR="00722867">
              <w:rPr>
                <w:rFonts w:ascii="Playfair Display" w:hAnsi="Playfair Display" w:eastAsia="Times New Roman" w:cs="Times New Roman"/>
                <w:b/>
                <w:sz w:val="20"/>
                <w:szCs w:val="20"/>
                <w:lang w:eastAsia="hu-HU"/>
              </w:rPr>
              <w:t>6</w:t>
            </w:r>
          </w:p>
        </w:tc>
      </w:tr>
      <w:tr w:rsidRPr="000043B5" w:rsidR="00DE2351" w:rsidTr="476229D4" w14:paraId="3272921F" w14:textId="77777777">
        <w:trPr>
          <w:jc w:val="center"/>
        </w:trPr>
        <w:tc>
          <w:tcPr>
            <w:tcW w:w="8874" w:type="dxa"/>
            <w:gridSpan w:val="3"/>
            <w:tcBorders>
              <w:left w:val="single" w:color="auto" w:sz="4" w:space="0"/>
              <w:bottom w:val="single" w:color="auto" w:sz="4" w:space="0"/>
              <w:right w:val="single" w:color="auto" w:sz="4" w:space="0"/>
            </w:tcBorders>
            <w:shd w:val="clear" w:color="auto" w:fill="auto"/>
            <w:tcMar>
              <w:top w:w="57" w:type="dxa"/>
              <w:bottom w:w="57" w:type="dxa"/>
            </w:tcMar>
          </w:tcPr>
          <w:p w:rsidRPr="000043B5" w:rsidR="00DE2351" w:rsidP="00254EA5" w:rsidRDefault="00DE2351" w14:paraId="5DEEEFCE" w14:textId="64A1329B">
            <w:pPr>
              <w:suppressAutoHyphens/>
              <w:spacing w:after="0" w:line="240" w:lineRule="auto"/>
              <w:jc w:val="both"/>
              <w:rPr>
                <w:rFonts w:ascii="Playfair Display" w:hAnsi="Playfair Display" w:eastAsia="Times New Roman" w:cs="Times New Roman"/>
                <w:sz w:val="20"/>
                <w:szCs w:val="20"/>
                <w:lang w:eastAsia="hu-HU"/>
              </w:rPr>
            </w:pPr>
            <w:r w:rsidRPr="000043B5">
              <w:rPr>
                <w:rFonts w:ascii="Playfair Display" w:hAnsi="Playfair Display" w:eastAsia="Times New Roman" w:cs="Times New Roman"/>
                <w:sz w:val="20"/>
                <w:szCs w:val="20"/>
                <w:lang w:eastAsia="hu-HU"/>
              </w:rPr>
              <w:t xml:space="preserve">A tantárgy </w:t>
            </w:r>
            <w:r w:rsidRPr="000043B5">
              <w:rPr>
                <w:rFonts w:ascii="Playfair Display" w:hAnsi="Playfair Display" w:eastAsia="Times New Roman" w:cs="Times New Roman"/>
                <w:b/>
                <w:sz w:val="20"/>
                <w:szCs w:val="20"/>
                <w:lang w:eastAsia="hu-HU"/>
              </w:rPr>
              <w:t>besorolása</w:t>
            </w:r>
            <w:r w:rsidRPr="000043B5">
              <w:rPr>
                <w:rFonts w:ascii="Playfair Display" w:hAnsi="Playfair Display" w:eastAsia="Times New Roman" w:cs="Times New Roman"/>
                <w:sz w:val="20"/>
                <w:szCs w:val="20"/>
                <w:lang w:eastAsia="hu-HU"/>
              </w:rPr>
              <w:t xml:space="preserve">: </w:t>
            </w:r>
            <w:r w:rsidRPr="00F540DF">
              <w:rPr>
                <w:rFonts w:ascii="Playfair Display" w:hAnsi="Playfair Display" w:eastAsia="Times New Roman" w:cs="Times New Roman"/>
                <w:b/>
                <w:sz w:val="20"/>
                <w:szCs w:val="20"/>
                <w:u w:val="single"/>
                <w:lang w:eastAsia="hu-HU"/>
              </w:rPr>
              <w:t>kötelező</w:t>
            </w:r>
            <w:r w:rsidRPr="000043B5">
              <w:rPr>
                <w:rFonts w:ascii="Playfair Display" w:hAnsi="Playfair Display" w:eastAsia="Times New Roman" w:cs="Times New Roman"/>
                <w:b/>
                <w:sz w:val="20"/>
                <w:szCs w:val="20"/>
                <w:lang w:eastAsia="hu-HU"/>
              </w:rPr>
              <w:t xml:space="preserve"> </w:t>
            </w:r>
            <w:r>
              <w:rPr>
                <w:rFonts w:ascii="Playfair Display" w:hAnsi="Playfair Display" w:eastAsia="Times New Roman" w:cs="Times New Roman"/>
                <w:b/>
                <w:sz w:val="20"/>
                <w:szCs w:val="20"/>
                <w:lang w:eastAsia="hu-HU"/>
              </w:rPr>
              <w:t>/ választható</w:t>
            </w:r>
          </w:p>
        </w:tc>
      </w:tr>
      <w:tr w:rsidRPr="000043B5" w:rsidR="00DE2351" w:rsidTr="476229D4" w14:paraId="259D834E" w14:textId="77777777">
        <w:trPr>
          <w:jc w:val="center"/>
        </w:trPr>
        <w:tc>
          <w:tcPr>
            <w:tcW w:w="8874" w:type="dxa"/>
            <w:gridSpan w:val="3"/>
            <w:tcBorders>
              <w:top w:val="single" w:color="auto" w:sz="4" w:space="0"/>
              <w:left w:val="single" w:color="auto" w:sz="4" w:space="0"/>
              <w:bottom w:val="single" w:color="auto" w:sz="4" w:space="0"/>
              <w:right w:val="single" w:color="auto" w:sz="4" w:space="0"/>
            </w:tcBorders>
            <w:shd w:val="clear" w:color="auto" w:fill="auto"/>
            <w:tcMar>
              <w:top w:w="57" w:type="dxa"/>
              <w:bottom w:w="57" w:type="dxa"/>
            </w:tcMar>
          </w:tcPr>
          <w:p w:rsidRPr="000043B5" w:rsidR="00DE2351" w:rsidP="00254EA5" w:rsidRDefault="00DE2351" w14:paraId="705C7265" w14:textId="71B92C90">
            <w:pPr>
              <w:suppressAutoHyphens/>
              <w:spacing w:after="0" w:line="240" w:lineRule="auto"/>
              <w:jc w:val="both"/>
              <w:rPr>
                <w:rFonts w:ascii="Playfair Display" w:hAnsi="Playfair Display" w:eastAsia="Times New Roman" w:cs="Times New Roman"/>
                <w:sz w:val="20"/>
                <w:szCs w:val="20"/>
                <w:lang w:eastAsia="hu-HU"/>
              </w:rPr>
            </w:pPr>
            <w:r w:rsidRPr="000043B5">
              <w:rPr>
                <w:rFonts w:ascii="Playfair Display" w:hAnsi="Playfair Display" w:eastAsia="Times New Roman" w:cs="Times New Roman"/>
                <w:b/>
                <w:sz w:val="20"/>
                <w:szCs w:val="20"/>
                <w:lang w:eastAsia="hu-HU"/>
              </w:rPr>
              <w:t>A tantárgy elméleti vagy gyakorlati jellegének mértéke, „képzési karaktere”</w:t>
            </w:r>
            <w:r w:rsidRPr="000043B5">
              <w:rPr>
                <w:rFonts w:ascii="Playfair Display" w:hAnsi="Playfair Display" w:eastAsia="Times New Roman" w:cs="Times New Roman"/>
                <w:b/>
                <w:sz w:val="20"/>
                <w:szCs w:val="20"/>
                <w:bdr w:val="dotted" w:color="auto" w:sz="4" w:space="0"/>
                <w:vertAlign w:val="superscript"/>
                <w:lang w:eastAsia="hu-HU"/>
              </w:rPr>
              <w:t>12</w:t>
            </w:r>
            <w:r w:rsidRPr="000043B5">
              <w:rPr>
                <w:rFonts w:ascii="Playfair Display" w:hAnsi="Playfair Display" w:eastAsia="Times New Roman" w:cs="Times New Roman"/>
                <w:sz w:val="20"/>
                <w:szCs w:val="20"/>
                <w:lang w:eastAsia="hu-HU"/>
              </w:rPr>
              <w:t xml:space="preserve">: </w:t>
            </w:r>
            <w:r w:rsidRPr="001005EC" w:rsidR="001005EC">
              <w:rPr>
                <w:rFonts w:ascii="Playfair Display" w:hAnsi="Playfair Display" w:eastAsia="Times New Roman" w:cs="Times New Roman"/>
                <w:b/>
                <w:bCs/>
                <w:sz w:val="20"/>
                <w:szCs w:val="20"/>
                <w:lang w:eastAsia="hu-HU"/>
              </w:rPr>
              <w:t>66</w:t>
            </w:r>
            <w:r w:rsidRPr="001005EC">
              <w:rPr>
                <w:rFonts w:ascii="Playfair Display" w:hAnsi="Playfair Display" w:eastAsia="Times New Roman" w:cs="Times New Roman"/>
                <w:b/>
                <w:bCs/>
                <w:sz w:val="20"/>
                <w:szCs w:val="20"/>
                <w:lang w:eastAsia="hu-HU"/>
              </w:rPr>
              <w:t>%</w:t>
            </w:r>
            <w:r w:rsidRPr="000043B5">
              <w:rPr>
                <w:rFonts w:ascii="Playfair Display" w:hAnsi="Playfair Display" w:eastAsia="Times New Roman" w:cs="Times New Roman"/>
                <w:sz w:val="20"/>
                <w:szCs w:val="20"/>
                <w:lang w:eastAsia="hu-HU"/>
              </w:rPr>
              <w:t xml:space="preserve"> (kredit%)</w:t>
            </w:r>
          </w:p>
        </w:tc>
      </w:tr>
      <w:tr w:rsidRPr="000043B5" w:rsidR="00DE2351" w:rsidTr="476229D4" w14:paraId="21189110" w14:textId="77777777">
        <w:trPr>
          <w:jc w:val="center"/>
        </w:trPr>
        <w:tc>
          <w:tcPr>
            <w:tcW w:w="8874" w:type="dxa"/>
            <w:gridSpan w:val="3"/>
            <w:tcBorders>
              <w:top w:val="single" w:color="auto" w:sz="4" w:space="0"/>
              <w:left w:val="single" w:color="auto" w:sz="4" w:space="0"/>
              <w:right w:val="single" w:color="auto" w:sz="4" w:space="0"/>
            </w:tcBorders>
            <w:shd w:val="clear" w:color="auto" w:fill="auto"/>
            <w:tcMar>
              <w:top w:w="57" w:type="dxa"/>
              <w:bottom w:w="57" w:type="dxa"/>
            </w:tcMar>
          </w:tcPr>
          <w:p w:rsidR="00DE2351" w:rsidP="00254EA5" w:rsidRDefault="00DE2351" w14:paraId="26C30F7E" w14:textId="77777777">
            <w:pPr>
              <w:suppressAutoHyphens/>
              <w:spacing w:after="0" w:line="240" w:lineRule="auto"/>
              <w:rPr>
                <w:rFonts w:ascii="Playfair Display" w:hAnsi="Playfair Display" w:eastAsia="Times New Roman" w:cs="Times New Roman"/>
                <w:sz w:val="20"/>
                <w:szCs w:val="20"/>
                <w:lang w:eastAsia="hu-HU"/>
              </w:rPr>
            </w:pPr>
            <w:r w:rsidRPr="000043B5">
              <w:rPr>
                <w:rFonts w:ascii="Playfair Display" w:hAnsi="Playfair Display" w:eastAsia="Times New Roman" w:cs="Times New Roman"/>
                <w:sz w:val="20"/>
                <w:szCs w:val="20"/>
                <w:lang w:eastAsia="hu-HU"/>
              </w:rPr>
              <w:t xml:space="preserve">A </w:t>
            </w:r>
            <w:r w:rsidRPr="000043B5">
              <w:rPr>
                <w:rFonts w:ascii="Playfair Display" w:hAnsi="Playfair Display" w:eastAsia="Times New Roman" w:cs="Times New Roman"/>
                <w:b/>
                <w:sz w:val="20"/>
                <w:szCs w:val="20"/>
                <w:lang w:eastAsia="hu-HU"/>
              </w:rPr>
              <w:t>tanóra</w:t>
            </w:r>
            <w:r w:rsidRPr="000043B5">
              <w:rPr>
                <w:rFonts w:ascii="Playfair Display" w:hAnsi="Playfair Display" w:eastAsia="Times New Roman" w:cs="Times New Roman"/>
                <w:b/>
                <w:sz w:val="20"/>
                <w:szCs w:val="20"/>
                <w:vertAlign w:val="superscript"/>
                <w:lang w:eastAsia="hu-HU"/>
              </w:rPr>
              <w:footnoteReference w:id="1"/>
            </w:r>
            <w:r w:rsidRPr="000043B5">
              <w:rPr>
                <w:rFonts w:ascii="Playfair Display" w:hAnsi="Playfair Display" w:eastAsia="Times New Roman" w:cs="Times New Roman"/>
                <w:b/>
                <w:sz w:val="20"/>
                <w:szCs w:val="20"/>
                <w:lang w:eastAsia="hu-HU"/>
              </w:rPr>
              <w:t xml:space="preserve"> típusa</w:t>
            </w:r>
            <w:r w:rsidRPr="000043B5">
              <w:rPr>
                <w:rFonts w:ascii="Playfair Display" w:hAnsi="Playfair Display" w:eastAsia="Times New Roman" w:cs="Times New Roman"/>
                <w:sz w:val="20"/>
                <w:szCs w:val="20"/>
                <w:lang w:eastAsia="hu-HU"/>
              </w:rPr>
              <w:t xml:space="preserve">: </w:t>
            </w:r>
            <w:r w:rsidRPr="00715A53">
              <w:rPr>
                <w:rFonts w:ascii="Playfair Display" w:hAnsi="Playfair Display" w:eastAsia="Times New Roman" w:cs="Times New Roman"/>
                <w:b/>
                <w:sz w:val="20"/>
                <w:szCs w:val="20"/>
                <w:u w:val="single"/>
                <w:lang w:eastAsia="hu-HU"/>
              </w:rPr>
              <w:t>ea.</w:t>
            </w:r>
            <w:r w:rsidRPr="00DE2351">
              <w:rPr>
                <w:rFonts w:ascii="Playfair Display" w:hAnsi="Playfair Display" w:eastAsia="Times New Roman" w:cs="Times New Roman"/>
                <w:bCs/>
                <w:sz w:val="20"/>
                <w:szCs w:val="20"/>
                <w:lang w:eastAsia="hu-HU"/>
              </w:rPr>
              <w:t xml:space="preserve"> / s</w:t>
            </w:r>
            <w:r w:rsidRPr="000043B5">
              <w:rPr>
                <w:rFonts w:ascii="Playfair Display" w:hAnsi="Playfair Display" w:eastAsia="Times New Roman" w:cs="Times New Roman"/>
                <w:sz w:val="20"/>
                <w:szCs w:val="20"/>
                <w:lang w:eastAsia="hu-HU"/>
              </w:rPr>
              <w:t xml:space="preserve">zem. / </w:t>
            </w:r>
            <w:r w:rsidRPr="006D312D">
              <w:rPr>
                <w:rFonts w:ascii="Playfair Display" w:hAnsi="Playfair Display" w:eastAsia="Times New Roman" w:cs="Times New Roman"/>
                <w:b/>
                <w:sz w:val="20"/>
                <w:szCs w:val="20"/>
                <w:u w:val="single"/>
                <w:lang w:eastAsia="hu-HU"/>
              </w:rPr>
              <w:t>gyak.</w:t>
            </w:r>
            <w:r>
              <w:rPr>
                <w:rFonts w:ascii="Playfair Display" w:hAnsi="Playfair Display" w:eastAsia="Times New Roman" w:cs="Times New Roman"/>
                <w:sz w:val="20"/>
                <w:szCs w:val="20"/>
                <w:lang w:eastAsia="hu-HU"/>
              </w:rPr>
              <w:t xml:space="preserve"> / konz. és óraszáma: </w:t>
            </w:r>
          </w:p>
          <w:p w:rsidR="00DE2351" w:rsidP="0072660B" w:rsidRDefault="00DE2351" w14:paraId="1FD4F45B" w14:textId="255C39DC">
            <w:pPr>
              <w:suppressAutoHyphens/>
              <w:spacing w:after="0" w:line="240" w:lineRule="auto"/>
              <w:rPr>
                <w:rFonts w:ascii="Playfair Display" w:hAnsi="Playfair Display" w:eastAsia="Times New Roman" w:cs="Times New Roman"/>
                <w:sz w:val="20"/>
                <w:szCs w:val="20"/>
                <w:lang w:eastAsia="hu-HU"/>
              </w:rPr>
            </w:pPr>
            <w:r>
              <w:rPr>
                <w:rFonts w:ascii="Playfair Display" w:hAnsi="Playfair Display" w:eastAsia="Times New Roman" w:cs="Times New Roman"/>
                <w:sz w:val="20"/>
                <w:szCs w:val="20"/>
                <w:lang w:eastAsia="hu-HU"/>
              </w:rPr>
              <w:t xml:space="preserve">- </w:t>
            </w:r>
            <w:r w:rsidRPr="00715A53" w:rsidR="00715A53">
              <w:rPr>
                <w:rFonts w:ascii="Playfair Display" w:hAnsi="Playfair Display" w:eastAsia="Times New Roman" w:cs="Times New Roman"/>
                <w:b/>
                <w:bCs/>
                <w:sz w:val="20"/>
                <w:szCs w:val="20"/>
                <w:lang w:eastAsia="hu-HU"/>
              </w:rPr>
              <w:t>5</w:t>
            </w:r>
            <w:r w:rsidR="00854F2C">
              <w:rPr>
                <w:rFonts w:ascii="Playfair Display" w:hAnsi="Playfair Display" w:eastAsia="Times New Roman" w:cs="Times New Roman"/>
                <w:b/>
                <w:bCs/>
                <w:sz w:val="20"/>
                <w:szCs w:val="20"/>
                <w:lang w:eastAsia="hu-HU"/>
              </w:rPr>
              <w:t>0</w:t>
            </w:r>
            <w:r>
              <w:rPr>
                <w:rFonts w:ascii="Playfair Display" w:hAnsi="Playfair Display" w:eastAsia="Times New Roman" w:cs="Times New Roman"/>
                <w:sz w:val="20"/>
                <w:szCs w:val="20"/>
                <w:lang w:eastAsia="hu-HU"/>
              </w:rPr>
              <w:t xml:space="preserve"> óra előadás nappali munkarend, </w:t>
            </w:r>
            <w:r w:rsidRPr="00586BBE" w:rsidR="00586BBE">
              <w:rPr>
                <w:rFonts w:ascii="Playfair Display" w:hAnsi="Playfair Display" w:eastAsia="Times New Roman" w:cs="Times New Roman"/>
                <w:b/>
                <w:bCs/>
                <w:sz w:val="20"/>
                <w:szCs w:val="20"/>
                <w:lang w:eastAsia="hu-HU"/>
              </w:rPr>
              <w:t>24</w:t>
            </w:r>
            <w:r w:rsidRPr="000043B5">
              <w:rPr>
                <w:rFonts w:ascii="Playfair Display" w:hAnsi="Playfair Display" w:eastAsia="Times New Roman" w:cs="Times New Roman"/>
                <w:sz w:val="20"/>
                <w:szCs w:val="20"/>
                <w:lang w:eastAsia="hu-HU"/>
              </w:rPr>
              <w:t xml:space="preserve"> óra </w:t>
            </w:r>
            <w:r>
              <w:rPr>
                <w:rFonts w:ascii="Playfair Display" w:hAnsi="Playfair Display" w:eastAsia="Times New Roman" w:cs="Times New Roman"/>
                <w:sz w:val="20"/>
                <w:szCs w:val="20"/>
                <w:lang w:eastAsia="hu-HU"/>
              </w:rPr>
              <w:t xml:space="preserve">előadás </w:t>
            </w:r>
            <w:r w:rsidRPr="000043B5">
              <w:rPr>
                <w:rFonts w:ascii="Playfair Display" w:hAnsi="Playfair Display" w:eastAsia="Times New Roman" w:cs="Times New Roman"/>
                <w:sz w:val="20"/>
                <w:szCs w:val="20"/>
                <w:lang w:eastAsia="hu-HU"/>
              </w:rPr>
              <w:t>levelező munkarend az adott félévben,</w:t>
            </w:r>
            <w:r>
              <w:rPr>
                <w:rFonts w:ascii="Playfair Display" w:hAnsi="Playfair Display" w:eastAsia="Times New Roman" w:cs="Times New Roman"/>
                <w:sz w:val="20"/>
                <w:szCs w:val="20"/>
                <w:lang w:eastAsia="hu-HU"/>
              </w:rPr>
              <w:t xml:space="preserve"> illetve</w:t>
            </w:r>
          </w:p>
          <w:p w:rsidRPr="000043B5" w:rsidR="00854F2C" w:rsidP="0072660B" w:rsidRDefault="006D312D" w14:paraId="3457A006" w14:textId="6BF70D46">
            <w:pPr>
              <w:suppressAutoHyphens/>
              <w:spacing w:after="0" w:line="240" w:lineRule="auto"/>
              <w:rPr>
                <w:rFonts w:ascii="Playfair Display" w:hAnsi="Playfair Display" w:eastAsia="Times New Roman" w:cs="Times New Roman"/>
                <w:sz w:val="20"/>
                <w:szCs w:val="20"/>
                <w:lang w:eastAsia="hu-HU"/>
              </w:rPr>
            </w:pPr>
            <w:r>
              <w:rPr>
                <w:rFonts w:ascii="Playfair Display" w:hAnsi="Playfair Display" w:eastAsia="Times New Roman" w:cs="Times New Roman"/>
                <w:sz w:val="20"/>
                <w:szCs w:val="20"/>
                <w:lang w:eastAsia="hu-HU"/>
              </w:rPr>
              <w:t xml:space="preserve">- </w:t>
            </w:r>
            <w:r w:rsidRPr="006D312D">
              <w:rPr>
                <w:rFonts w:ascii="Playfair Display" w:hAnsi="Playfair Display" w:eastAsia="Times New Roman" w:cs="Times New Roman"/>
                <w:b/>
                <w:bCs/>
                <w:sz w:val="20"/>
                <w:szCs w:val="20"/>
                <w:lang w:eastAsia="hu-HU"/>
              </w:rPr>
              <w:t>26</w:t>
            </w:r>
            <w:r>
              <w:rPr>
                <w:rFonts w:ascii="Playfair Display" w:hAnsi="Playfair Display" w:eastAsia="Times New Roman" w:cs="Times New Roman"/>
                <w:sz w:val="20"/>
                <w:szCs w:val="20"/>
                <w:lang w:eastAsia="hu-HU"/>
              </w:rPr>
              <w:t xml:space="preserve"> óra gyakorlat nappali munkarend, </w:t>
            </w:r>
            <w:r w:rsidRPr="00586BBE" w:rsidR="00586BBE">
              <w:rPr>
                <w:rFonts w:ascii="Playfair Display" w:hAnsi="Playfair Display" w:eastAsia="Times New Roman" w:cs="Times New Roman"/>
                <w:b/>
                <w:bCs/>
                <w:sz w:val="20"/>
                <w:szCs w:val="20"/>
                <w:lang w:eastAsia="hu-HU"/>
              </w:rPr>
              <w:t>14</w:t>
            </w:r>
            <w:r>
              <w:rPr>
                <w:rFonts w:ascii="Playfair Display" w:hAnsi="Playfair Display" w:eastAsia="Times New Roman" w:cs="Times New Roman"/>
                <w:sz w:val="20"/>
                <w:szCs w:val="20"/>
                <w:lang w:eastAsia="hu-HU"/>
              </w:rPr>
              <w:t xml:space="preserve"> óra gyakorlat levelező munkarend az adott félévben.</w:t>
            </w:r>
          </w:p>
          <w:p w:rsidRPr="000043B5" w:rsidR="00DE2351" w:rsidP="00254EA5" w:rsidRDefault="00DE2351" w14:paraId="47AF09D2" w14:textId="4B16CF9C">
            <w:pPr>
              <w:suppressAutoHyphens/>
              <w:spacing w:after="0" w:line="240" w:lineRule="auto"/>
              <w:jc w:val="both"/>
              <w:rPr>
                <w:rFonts w:ascii="Playfair Display" w:hAnsi="Playfair Display" w:eastAsia="Times New Roman" w:cs="Times New Roman"/>
                <w:sz w:val="20"/>
                <w:szCs w:val="20"/>
                <w:lang w:eastAsia="hu-HU"/>
              </w:rPr>
            </w:pPr>
            <w:r w:rsidRPr="000043B5">
              <w:rPr>
                <w:rFonts w:ascii="Playfair Display" w:hAnsi="Playfair Display" w:eastAsia="Times New Roman" w:cs="Times New Roman"/>
                <w:sz w:val="20"/>
                <w:szCs w:val="20"/>
                <w:lang w:eastAsia="hu-HU"/>
              </w:rPr>
              <w:t xml:space="preserve">Az adott ismeret átadásában alkalmazandó </w:t>
            </w:r>
            <w:r w:rsidRPr="000043B5">
              <w:rPr>
                <w:rFonts w:ascii="Playfair Display" w:hAnsi="Playfair Display" w:eastAsia="Times New Roman" w:cs="Times New Roman"/>
                <w:b/>
                <w:sz w:val="20"/>
                <w:szCs w:val="20"/>
                <w:lang w:eastAsia="hu-HU"/>
              </w:rPr>
              <w:t>további</w:t>
            </w:r>
            <w:r w:rsidRPr="000043B5">
              <w:rPr>
                <w:rFonts w:ascii="Playfair Display" w:hAnsi="Playfair Display" w:eastAsia="Times New Roman" w:cs="Times New Roman"/>
                <w:sz w:val="20"/>
                <w:szCs w:val="20"/>
                <w:lang w:eastAsia="hu-HU"/>
              </w:rPr>
              <w:t xml:space="preserve"> (</w:t>
            </w:r>
            <w:r w:rsidRPr="000043B5">
              <w:rPr>
                <w:rFonts w:ascii="Playfair Display" w:hAnsi="Playfair Display" w:eastAsia="Times New Roman" w:cs="Times New Roman"/>
                <w:i/>
                <w:sz w:val="20"/>
                <w:szCs w:val="20"/>
                <w:lang w:eastAsia="hu-HU"/>
              </w:rPr>
              <w:t>sajátos</w:t>
            </w:r>
            <w:r w:rsidRPr="000043B5">
              <w:rPr>
                <w:rFonts w:ascii="Playfair Display" w:hAnsi="Playfair Display" w:eastAsia="Times New Roman" w:cs="Times New Roman"/>
                <w:sz w:val="20"/>
                <w:szCs w:val="20"/>
                <w:lang w:eastAsia="hu-HU"/>
              </w:rPr>
              <w:t xml:space="preserve">) </w:t>
            </w:r>
            <w:r w:rsidRPr="000043B5">
              <w:rPr>
                <w:rFonts w:ascii="Playfair Display" w:hAnsi="Playfair Display" w:eastAsia="Times New Roman" w:cs="Times New Roman"/>
                <w:b/>
                <w:sz w:val="20"/>
                <w:szCs w:val="20"/>
                <w:lang w:eastAsia="hu-HU"/>
              </w:rPr>
              <w:t>módok, jellemzők</w:t>
            </w:r>
            <w:r w:rsidRPr="000043B5">
              <w:rPr>
                <w:rFonts w:ascii="Playfair Display" w:hAnsi="Playfair Display" w:eastAsia="Times New Roman" w:cs="Times New Roman"/>
                <w:b/>
                <w:sz w:val="20"/>
                <w:szCs w:val="20"/>
                <w:vertAlign w:val="superscript"/>
                <w:lang w:eastAsia="hu-HU"/>
              </w:rPr>
              <w:footnoteReference w:id="2"/>
            </w:r>
            <w:r w:rsidRPr="000043B5">
              <w:rPr>
                <w:rFonts w:ascii="Playfair Display" w:hAnsi="Playfair Display" w:eastAsia="Times New Roman" w:cs="Times New Roman"/>
                <w:sz w:val="20"/>
                <w:szCs w:val="20"/>
                <w:lang w:eastAsia="hu-HU"/>
              </w:rPr>
              <w:t xml:space="preserve"> </w:t>
            </w:r>
            <w:r w:rsidRPr="000043B5">
              <w:rPr>
                <w:rFonts w:ascii="Playfair Display" w:hAnsi="Playfair Display" w:eastAsia="Times New Roman" w:cs="Times New Roman"/>
                <w:i/>
                <w:sz w:val="20"/>
                <w:szCs w:val="20"/>
                <w:lang w:eastAsia="hu-HU"/>
              </w:rPr>
              <w:t>(ha vannak)</w:t>
            </w:r>
            <w:r w:rsidRPr="000043B5">
              <w:rPr>
                <w:rFonts w:ascii="Playfair Display" w:hAnsi="Playfair Display" w:eastAsia="Times New Roman" w:cs="Times New Roman"/>
                <w:sz w:val="20"/>
                <w:szCs w:val="20"/>
                <w:lang w:eastAsia="hu-HU"/>
              </w:rPr>
              <w:t xml:space="preserve">: </w:t>
            </w:r>
            <w:r w:rsidRPr="00422115" w:rsidR="0072660B">
              <w:rPr>
                <w:rFonts w:ascii="Playfair Display" w:hAnsi="Playfair Display" w:eastAsia="Times New Roman" w:cs="Times New Roman"/>
                <w:b/>
                <w:bCs/>
                <w:sz w:val="20"/>
                <w:szCs w:val="20"/>
                <w:lang w:eastAsia="hu-HU"/>
              </w:rPr>
              <w:t xml:space="preserve">A kurzushoz </w:t>
            </w:r>
            <w:r w:rsidRPr="00422115" w:rsidR="00203CDC">
              <w:rPr>
                <w:rFonts w:ascii="Playfair Display" w:hAnsi="Playfair Display" w:eastAsia="Times New Roman" w:cs="Times New Roman"/>
                <w:b/>
                <w:bCs/>
                <w:sz w:val="20"/>
                <w:szCs w:val="20"/>
                <w:lang w:eastAsia="hu-HU"/>
              </w:rPr>
              <w:t>10</w:t>
            </w:r>
            <w:r w:rsidRPr="00422115" w:rsidR="0072660B">
              <w:rPr>
                <w:rFonts w:ascii="Playfair Display" w:hAnsi="Playfair Display" w:eastAsia="Times New Roman" w:cs="Times New Roman"/>
                <w:b/>
                <w:bCs/>
                <w:sz w:val="20"/>
                <w:szCs w:val="20"/>
                <w:lang w:eastAsia="hu-HU"/>
              </w:rPr>
              <w:t xml:space="preserve"> óra konzultáció kapcsolódik, mely keretében a</w:t>
            </w:r>
            <w:r w:rsidRPr="00422115" w:rsidR="00203CDC">
              <w:rPr>
                <w:rFonts w:ascii="Playfair Display" w:hAnsi="Playfair Display" w:eastAsia="Times New Roman" w:cs="Times New Roman"/>
                <w:b/>
                <w:bCs/>
                <w:sz w:val="20"/>
                <w:szCs w:val="20"/>
                <w:lang w:eastAsia="hu-HU"/>
              </w:rPr>
              <w:t xml:space="preserve"> supraglotticus </w:t>
            </w:r>
            <w:r w:rsidRPr="00422115" w:rsidR="003D0146">
              <w:rPr>
                <w:rFonts w:ascii="Playfair Display" w:hAnsi="Playfair Display" w:eastAsia="Times New Roman" w:cs="Times New Roman"/>
                <w:b/>
                <w:bCs/>
                <w:sz w:val="20"/>
                <w:szCs w:val="20"/>
                <w:lang w:eastAsia="hu-HU"/>
              </w:rPr>
              <w:t>légútbiztosítási technikákkal és eszközökkel kapcsolatos</w:t>
            </w:r>
            <w:r w:rsidRPr="00422115" w:rsidR="0072660B">
              <w:rPr>
                <w:rFonts w:ascii="Playfair Display" w:hAnsi="Playfair Display" w:eastAsia="Times New Roman" w:cs="Times New Roman"/>
                <w:b/>
                <w:bCs/>
                <w:sz w:val="20"/>
                <w:szCs w:val="20"/>
                <w:lang w:eastAsia="hu-HU"/>
              </w:rPr>
              <w:t xml:space="preserve"> ismeretek elmélyítésére nyílik lehetőség.</w:t>
            </w:r>
          </w:p>
        </w:tc>
      </w:tr>
      <w:tr w:rsidRPr="000043B5" w:rsidR="00DE2351" w:rsidTr="476229D4" w14:paraId="7DF1D2D2" w14:textId="77777777">
        <w:trPr>
          <w:jc w:val="center"/>
        </w:trPr>
        <w:tc>
          <w:tcPr>
            <w:tcW w:w="8874" w:type="dxa"/>
            <w:gridSpan w:val="3"/>
            <w:tcBorders>
              <w:left w:val="single" w:color="auto" w:sz="4" w:space="0"/>
              <w:right w:val="single" w:color="auto" w:sz="4" w:space="0"/>
            </w:tcBorders>
            <w:shd w:val="clear" w:color="auto" w:fill="auto"/>
            <w:tcMar>
              <w:top w:w="57" w:type="dxa"/>
              <w:bottom w:w="57" w:type="dxa"/>
            </w:tcMar>
          </w:tcPr>
          <w:p w:rsidRPr="000043B5" w:rsidR="00DE2351" w:rsidP="00254EA5" w:rsidRDefault="00DE2351" w14:paraId="4681C923" w14:textId="77777777">
            <w:pPr>
              <w:suppressAutoHyphens/>
              <w:spacing w:after="0" w:line="240" w:lineRule="auto"/>
              <w:jc w:val="both"/>
              <w:rPr>
                <w:rFonts w:ascii="Playfair Display" w:hAnsi="Playfair Display" w:eastAsia="Times New Roman" w:cs="Times New Roman"/>
                <w:sz w:val="20"/>
                <w:szCs w:val="20"/>
                <w:lang w:eastAsia="hu-HU"/>
              </w:rPr>
            </w:pPr>
            <w:r w:rsidRPr="000043B5">
              <w:rPr>
                <w:rFonts w:ascii="Playfair Display" w:hAnsi="Playfair Display" w:eastAsia="Times New Roman" w:cs="Times New Roman"/>
                <w:sz w:val="20"/>
                <w:szCs w:val="20"/>
                <w:lang w:eastAsia="hu-HU"/>
              </w:rPr>
              <w:t xml:space="preserve">A </w:t>
            </w:r>
            <w:r w:rsidRPr="000043B5">
              <w:rPr>
                <w:rFonts w:ascii="Playfair Display" w:hAnsi="Playfair Display" w:eastAsia="Times New Roman" w:cs="Times New Roman"/>
                <w:b/>
                <w:sz w:val="20"/>
                <w:szCs w:val="20"/>
                <w:lang w:eastAsia="hu-HU"/>
              </w:rPr>
              <w:t xml:space="preserve">számonkérés </w:t>
            </w:r>
            <w:r w:rsidRPr="000043B5">
              <w:rPr>
                <w:rFonts w:ascii="Playfair Display" w:hAnsi="Playfair Display" w:eastAsia="Times New Roman" w:cs="Times New Roman"/>
                <w:sz w:val="20"/>
                <w:szCs w:val="20"/>
                <w:lang w:eastAsia="hu-HU"/>
              </w:rPr>
              <w:t>módja (</w:t>
            </w:r>
            <w:r w:rsidRPr="00DE2351">
              <w:rPr>
                <w:rFonts w:ascii="Playfair Display" w:hAnsi="Playfair Display" w:eastAsia="Times New Roman" w:cs="Times New Roman"/>
                <w:bCs/>
                <w:sz w:val="20"/>
                <w:szCs w:val="20"/>
                <w:lang w:eastAsia="hu-HU"/>
              </w:rPr>
              <w:t>koll. / gyj.</w:t>
            </w:r>
            <w:r w:rsidRPr="000043B5">
              <w:rPr>
                <w:rFonts w:ascii="Playfair Display" w:hAnsi="Playfair Display" w:eastAsia="Times New Roman" w:cs="Times New Roman"/>
                <w:sz w:val="20"/>
                <w:szCs w:val="20"/>
                <w:lang w:eastAsia="hu-HU"/>
              </w:rPr>
              <w:t xml:space="preserve"> / egyéb</w:t>
            </w:r>
            <w:r w:rsidRPr="000043B5">
              <w:rPr>
                <w:rFonts w:ascii="Playfair Display" w:hAnsi="Playfair Display" w:eastAsia="Times New Roman" w:cs="Times New Roman"/>
                <w:sz w:val="20"/>
                <w:szCs w:val="20"/>
                <w:vertAlign w:val="superscript"/>
                <w:lang w:eastAsia="hu-HU"/>
              </w:rPr>
              <w:footnoteReference w:id="3"/>
            </w:r>
            <w:r w:rsidRPr="000043B5">
              <w:rPr>
                <w:rFonts w:ascii="Playfair Display" w:hAnsi="Playfair Display" w:eastAsia="Times New Roman" w:cs="Times New Roman"/>
                <w:b/>
                <w:sz w:val="20"/>
                <w:szCs w:val="20"/>
                <w:lang w:eastAsia="hu-HU"/>
              </w:rPr>
              <w:t>)</w:t>
            </w:r>
            <w:r w:rsidRPr="000043B5">
              <w:rPr>
                <w:rFonts w:ascii="Playfair Display" w:hAnsi="Playfair Display" w:eastAsia="Times New Roman" w:cs="Times New Roman"/>
                <w:sz w:val="20"/>
                <w:szCs w:val="20"/>
                <w:lang w:eastAsia="hu-HU"/>
              </w:rPr>
              <w:t xml:space="preserve">: </w:t>
            </w:r>
            <w:r w:rsidRPr="00C814C4">
              <w:rPr>
                <w:rFonts w:ascii="Playfair Display" w:hAnsi="Playfair Display" w:eastAsia="Times New Roman" w:cs="Times New Roman"/>
                <w:b/>
                <w:bCs/>
                <w:sz w:val="20"/>
                <w:szCs w:val="20"/>
                <w:lang w:eastAsia="hu-HU"/>
              </w:rPr>
              <w:t>kollokvium</w:t>
            </w:r>
          </w:p>
          <w:p w:rsidRPr="000043B5" w:rsidR="00DE2351" w:rsidP="00254EA5" w:rsidRDefault="00DE2351" w14:paraId="42C796D2" w14:textId="5EF5361D">
            <w:pPr>
              <w:suppressAutoHyphens/>
              <w:spacing w:after="0" w:line="240" w:lineRule="auto"/>
              <w:jc w:val="both"/>
              <w:rPr>
                <w:rFonts w:ascii="Playfair Display" w:hAnsi="Playfair Display" w:eastAsia="Times New Roman" w:cs="Times New Roman"/>
                <w:b/>
                <w:sz w:val="20"/>
                <w:szCs w:val="20"/>
                <w:lang w:eastAsia="hu-HU"/>
              </w:rPr>
            </w:pPr>
            <w:r w:rsidRPr="000043B5">
              <w:rPr>
                <w:rFonts w:ascii="Playfair Display" w:hAnsi="Playfair Display" w:eastAsia="Times New Roman" w:cs="Times New Roman"/>
                <w:sz w:val="20"/>
                <w:szCs w:val="20"/>
                <w:lang w:eastAsia="hu-HU"/>
              </w:rPr>
              <w:t xml:space="preserve">Az ismeretellenőrzésben alkalmazandó </w:t>
            </w:r>
            <w:r w:rsidRPr="000043B5">
              <w:rPr>
                <w:rFonts w:ascii="Playfair Display" w:hAnsi="Playfair Display" w:eastAsia="Times New Roman" w:cs="Times New Roman"/>
                <w:b/>
                <w:sz w:val="20"/>
                <w:szCs w:val="20"/>
                <w:lang w:eastAsia="hu-HU"/>
              </w:rPr>
              <w:t xml:space="preserve">további </w:t>
            </w:r>
            <w:r w:rsidRPr="000043B5">
              <w:rPr>
                <w:rFonts w:ascii="Playfair Display" w:hAnsi="Playfair Display" w:eastAsia="Times New Roman" w:cs="Times New Roman"/>
                <w:sz w:val="20"/>
                <w:szCs w:val="20"/>
                <w:lang w:eastAsia="hu-HU"/>
              </w:rPr>
              <w:t>(</w:t>
            </w:r>
            <w:r w:rsidRPr="000043B5">
              <w:rPr>
                <w:rFonts w:ascii="Playfair Display" w:hAnsi="Playfair Display" w:eastAsia="Times New Roman" w:cs="Times New Roman"/>
                <w:i/>
                <w:sz w:val="20"/>
                <w:szCs w:val="20"/>
                <w:lang w:eastAsia="hu-HU"/>
              </w:rPr>
              <w:t>sajátos</w:t>
            </w:r>
            <w:r w:rsidRPr="000043B5">
              <w:rPr>
                <w:rFonts w:ascii="Playfair Display" w:hAnsi="Playfair Display" w:eastAsia="Times New Roman" w:cs="Times New Roman"/>
                <w:sz w:val="20"/>
                <w:szCs w:val="20"/>
                <w:lang w:eastAsia="hu-HU"/>
              </w:rPr>
              <w:t xml:space="preserve">) </w:t>
            </w:r>
            <w:r w:rsidRPr="000043B5">
              <w:rPr>
                <w:rFonts w:ascii="Playfair Display" w:hAnsi="Playfair Display" w:eastAsia="Times New Roman" w:cs="Times New Roman"/>
                <w:b/>
                <w:sz w:val="20"/>
                <w:szCs w:val="20"/>
                <w:lang w:eastAsia="hu-HU"/>
              </w:rPr>
              <w:t>módok</w:t>
            </w:r>
            <w:r w:rsidRPr="000043B5">
              <w:rPr>
                <w:rFonts w:ascii="Playfair Display" w:hAnsi="Playfair Display" w:eastAsia="Times New Roman" w:cs="Times New Roman"/>
                <w:b/>
                <w:sz w:val="20"/>
                <w:szCs w:val="20"/>
                <w:vertAlign w:val="superscript"/>
                <w:lang w:eastAsia="hu-HU"/>
              </w:rPr>
              <w:footnoteReference w:id="4"/>
            </w:r>
            <w:r w:rsidRPr="000043B5">
              <w:rPr>
                <w:rFonts w:ascii="Playfair Display" w:hAnsi="Playfair Display" w:eastAsia="Times New Roman" w:cs="Times New Roman"/>
                <w:b/>
                <w:sz w:val="20"/>
                <w:szCs w:val="20"/>
                <w:lang w:eastAsia="hu-HU"/>
              </w:rPr>
              <w:t xml:space="preserve"> </w:t>
            </w:r>
            <w:r w:rsidRPr="000043B5">
              <w:rPr>
                <w:rFonts w:ascii="Playfair Display" w:hAnsi="Playfair Display" w:eastAsia="Times New Roman" w:cs="Times New Roman"/>
                <w:i/>
                <w:sz w:val="20"/>
                <w:szCs w:val="20"/>
                <w:lang w:eastAsia="hu-HU"/>
              </w:rPr>
              <w:t>(ha vannak)</w:t>
            </w:r>
            <w:r w:rsidRPr="000043B5">
              <w:rPr>
                <w:rFonts w:ascii="Playfair Display" w:hAnsi="Playfair Display" w:eastAsia="Times New Roman" w:cs="Times New Roman"/>
                <w:b/>
                <w:sz w:val="20"/>
                <w:szCs w:val="20"/>
                <w:lang w:eastAsia="hu-HU"/>
              </w:rPr>
              <w:t>:</w:t>
            </w:r>
            <w:r w:rsidR="00BD4EAE">
              <w:rPr>
                <w:rFonts w:ascii="Playfair Display" w:hAnsi="Playfair Display" w:eastAsia="Times New Roman" w:cs="Times New Roman"/>
                <w:b/>
                <w:sz w:val="20"/>
                <w:szCs w:val="20"/>
                <w:lang w:eastAsia="hu-HU"/>
              </w:rPr>
              <w:t xml:space="preserve"> A félév során két zárthelyi dolgozat megírására kerül sor, </w:t>
            </w:r>
            <w:r w:rsidR="00297B71">
              <w:rPr>
                <w:rFonts w:ascii="Playfair Display" w:hAnsi="Playfair Display" w:eastAsia="Times New Roman" w:cs="Times New Roman"/>
                <w:b/>
                <w:sz w:val="20"/>
                <w:szCs w:val="20"/>
                <w:lang w:eastAsia="hu-HU"/>
              </w:rPr>
              <w:t>amennyiben ezek</w:t>
            </w:r>
            <w:r w:rsidR="00BD4EAE">
              <w:rPr>
                <w:rFonts w:ascii="Playfair Display" w:hAnsi="Playfair Display" w:eastAsia="Times New Roman" w:cs="Times New Roman"/>
                <w:b/>
                <w:sz w:val="20"/>
                <w:szCs w:val="20"/>
                <w:lang w:eastAsia="hu-HU"/>
              </w:rPr>
              <w:t xml:space="preserve"> együttes eredménye</w:t>
            </w:r>
            <w:r w:rsidR="00297B71">
              <w:rPr>
                <w:rFonts w:ascii="Playfair Display" w:hAnsi="Playfair Display" w:eastAsia="Times New Roman" w:cs="Times New Roman"/>
                <w:b/>
                <w:sz w:val="20"/>
                <w:szCs w:val="20"/>
                <w:lang w:eastAsia="hu-HU"/>
              </w:rPr>
              <w:t xml:space="preserve"> eléri a 75%-ot, akkor a szóbeli vizsgán eggyel kevesebb tétel </w:t>
            </w:r>
            <w:r w:rsidR="004314B3">
              <w:rPr>
                <w:rFonts w:ascii="Playfair Display" w:hAnsi="Playfair Display" w:eastAsia="Times New Roman" w:cs="Times New Roman"/>
                <w:b/>
                <w:sz w:val="20"/>
                <w:szCs w:val="20"/>
                <w:lang w:eastAsia="hu-HU"/>
              </w:rPr>
              <w:t>megválaszolása szükséges!</w:t>
            </w:r>
            <w:r w:rsidR="003D0146">
              <w:rPr>
                <w:rFonts w:ascii="Playfair Display" w:hAnsi="Playfair Display" w:eastAsia="Times New Roman" w:cs="Times New Roman"/>
                <w:b/>
                <w:sz w:val="20"/>
                <w:szCs w:val="20"/>
                <w:lang w:eastAsia="hu-HU"/>
              </w:rPr>
              <w:t xml:space="preserve"> A szorgalmi időszakban pulmonológia és fül-orr-gégészet ismeretanyagból írásbeli dolgozat megírására kerül sor, melynek eredményei részét képezik a félév végi kollokviumi érdemjegynek.</w:t>
            </w:r>
          </w:p>
        </w:tc>
      </w:tr>
      <w:tr w:rsidRPr="000043B5" w:rsidR="00DE2351" w:rsidTr="476229D4" w14:paraId="2EDF3800" w14:textId="77777777">
        <w:trPr>
          <w:jc w:val="center"/>
        </w:trPr>
        <w:tc>
          <w:tcPr>
            <w:tcW w:w="8874" w:type="dxa"/>
            <w:gridSpan w:val="3"/>
            <w:tcBorders>
              <w:left w:val="single" w:color="auto" w:sz="4" w:space="0"/>
              <w:bottom w:val="single" w:color="auto" w:sz="4" w:space="0"/>
              <w:right w:val="single" w:color="auto" w:sz="4" w:space="0"/>
            </w:tcBorders>
            <w:shd w:val="clear" w:color="auto" w:fill="auto"/>
            <w:tcMar>
              <w:top w:w="57" w:type="dxa"/>
              <w:bottom w:w="57" w:type="dxa"/>
            </w:tcMar>
          </w:tcPr>
          <w:p w:rsidRPr="000043B5" w:rsidR="00DE2351" w:rsidP="00254EA5" w:rsidRDefault="00DE2351" w14:paraId="4131CF01" w14:textId="3AB7BC54">
            <w:pPr>
              <w:suppressAutoHyphens/>
              <w:spacing w:after="0" w:line="240" w:lineRule="auto"/>
              <w:jc w:val="both"/>
              <w:rPr>
                <w:rFonts w:ascii="Playfair Display" w:hAnsi="Playfair Display" w:eastAsia="Times New Roman" w:cs="Times New Roman"/>
                <w:sz w:val="20"/>
                <w:szCs w:val="20"/>
                <w:lang w:eastAsia="hu-HU"/>
              </w:rPr>
            </w:pPr>
            <w:r w:rsidRPr="000043B5">
              <w:rPr>
                <w:rFonts w:ascii="Playfair Display" w:hAnsi="Playfair Display" w:eastAsia="Times New Roman" w:cs="Times New Roman"/>
                <w:sz w:val="20"/>
                <w:szCs w:val="20"/>
                <w:lang w:eastAsia="hu-HU"/>
              </w:rPr>
              <w:t xml:space="preserve">A tantárgy </w:t>
            </w:r>
            <w:r w:rsidRPr="000043B5">
              <w:rPr>
                <w:rFonts w:ascii="Playfair Display" w:hAnsi="Playfair Display" w:eastAsia="Times New Roman" w:cs="Times New Roman"/>
                <w:b/>
                <w:sz w:val="20"/>
                <w:szCs w:val="20"/>
                <w:lang w:eastAsia="hu-HU"/>
              </w:rPr>
              <w:t>tantervi helye</w:t>
            </w:r>
            <w:r w:rsidRPr="000043B5">
              <w:rPr>
                <w:rFonts w:ascii="Playfair Display" w:hAnsi="Playfair Display" w:eastAsia="Times New Roman" w:cs="Times New Roman"/>
                <w:sz w:val="20"/>
                <w:szCs w:val="20"/>
                <w:lang w:eastAsia="hu-HU"/>
              </w:rPr>
              <w:t xml:space="preserve"> (hányadik félév): </w:t>
            </w:r>
            <w:r w:rsidRPr="000034B0" w:rsidR="000034B0">
              <w:rPr>
                <w:rFonts w:ascii="Playfair Display" w:hAnsi="Playfair Display" w:eastAsia="Times New Roman" w:cs="Times New Roman"/>
                <w:b/>
                <w:bCs/>
                <w:sz w:val="20"/>
                <w:szCs w:val="20"/>
                <w:lang w:eastAsia="hu-HU"/>
              </w:rPr>
              <w:t>V. szemeszter</w:t>
            </w:r>
          </w:p>
        </w:tc>
      </w:tr>
      <w:tr w:rsidRPr="000043B5" w:rsidR="00DE2351" w:rsidTr="476229D4" w14:paraId="1779E898" w14:textId="77777777">
        <w:trPr>
          <w:jc w:val="center"/>
        </w:trPr>
        <w:tc>
          <w:tcPr>
            <w:tcW w:w="8874" w:type="dxa"/>
            <w:gridSpan w:val="3"/>
            <w:tcBorders>
              <w:left w:val="single" w:color="auto" w:sz="4" w:space="0"/>
              <w:bottom w:val="single" w:color="auto" w:sz="4" w:space="0"/>
              <w:right w:val="single" w:color="auto" w:sz="4" w:space="0"/>
            </w:tcBorders>
            <w:shd w:val="clear" w:color="auto" w:fill="auto"/>
            <w:tcMar>
              <w:top w:w="57" w:type="dxa"/>
              <w:bottom w:w="57" w:type="dxa"/>
            </w:tcMar>
          </w:tcPr>
          <w:p w:rsidRPr="000043B5" w:rsidR="00DE2351" w:rsidP="00284F56" w:rsidRDefault="00DE2351" w14:paraId="44741B49" w14:textId="108F377C">
            <w:pPr>
              <w:suppressAutoHyphens/>
              <w:spacing w:after="0" w:line="240" w:lineRule="auto"/>
              <w:jc w:val="both"/>
              <w:rPr>
                <w:rFonts w:ascii="Playfair Display" w:hAnsi="Playfair Display" w:eastAsia="Times New Roman" w:cs="Times New Roman"/>
                <w:sz w:val="20"/>
                <w:szCs w:val="20"/>
                <w:lang w:eastAsia="hu-HU"/>
              </w:rPr>
            </w:pPr>
            <w:r w:rsidRPr="000043B5">
              <w:rPr>
                <w:rFonts w:ascii="Playfair Display" w:hAnsi="Playfair Display" w:eastAsia="Times New Roman" w:cs="Times New Roman"/>
                <w:sz w:val="20"/>
                <w:szCs w:val="20"/>
                <w:lang w:eastAsia="hu-HU"/>
              </w:rPr>
              <w:t xml:space="preserve">Előtanulmányi feltételek </w:t>
            </w:r>
            <w:r w:rsidRPr="000043B5">
              <w:rPr>
                <w:rFonts w:ascii="Playfair Display" w:hAnsi="Playfair Display" w:eastAsia="Times New Roman" w:cs="Times New Roman"/>
                <w:i/>
                <w:sz w:val="20"/>
                <w:szCs w:val="20"/>
                <w:lang w:eastAsia="hu-HU"/>
              </w:rPr>
              <w:t>(ha vannak)</w:t>
            </w:r>
            <w:r w:rsidRPr="000043B5">
              <w:rPr>
                <w:rFonts w:ascii="Playfair Display" w:hAnsi="Playfair Display" w:eastAsia="Times New Roman" w:cs="Times New Roman"/>
                <w:sz w:val="20"/>
                <w:szCs w:val="20"/>
                <w:lang w:eastAsia="hu-HU"/>
              </w:rPr>
              <w:t xml:space="preserve">: </w:t>
            </w:r>
            <w:r w:rsidR="00CE5184">
              <w:rPr>
                <w:rFonts w:ascii="Playfair Display" w:hAnsi="Playfair Display" w:eastAsia="Times New Roman" w:cs="Times New Roman"/>
                <w:b/>
                <w:bCs/>
                <w:sz w:val="20"/>
                <w:szCs w:val="20"/>
                <w:lang w:eastAsia="hu-HU"/>
              </w:rPr>
              <w:t>Oxyologia</w:t>
            </w:r>
            <w:r w:rsidRPr="004D78A6" w:rsidR="00284F56">
              <w:rPr>
                <w:rFonts w:ascii="Playfair Display" w:hAnsi="Playfair Display" w:eastAsia="Times New Roman" w:cs="Times New Roman"/>
                <w:b/>
                <w:bCs/>
                <w:sz w:val="20"/>
                <w:szCs w:val="20"/>
                <w:lang w:eastAsia="hu-HU"/>
              </w:rPr>
              <w:t xml:space="preserve"> I.</w:t>
            </w:r>
          </w:p>
          <w:p w:rsidRPr="000043B5" w:rsidR="00DE2351" w:rsidP="00254EA5" w:rsidRDefault="00DE2351" w14:paraId="35479DB5" w14:textId="4A69A447">
            <w:pPr>
              <w:suppressAutoHyphens/>
              <w:spacing w:after="0" w:line="240" w:lineRule="auto"/>
              <w:jc w:val="both"/>
              <w:rPr>
                <w:rFonts w:ascii="Playfair Display" w:hAnsi="Playfair Display" w:eastAsia="Times New Roman" w:cs="Times New Roman"/>
                <w:sz w:val="20"/>
                <w:szCs w:val="20"/>
                <w:lang w:eastAsia="hu-HU"/>
              </w:rPr>
            </w:pPr>
            <w:r w:rsidRPr="000043B5">
              <w:rPr>
                <w:rFonts w:ascii="Playfair Display" w:hAnsi="Playfair Display" w:eastAsia="Times New Roman" w:cs="Times New Roman"/>
                <w:sz w:val="20"/>
                <w:szCs w:val="20"/>
                <w:lang w:eastAsia="hu-HU"/>
              </w:rPr>
              <w:t>Párhuzamos feltétel</w:t>
            </w:r>
            <w:r>
              <w:rPr>
                <w:rFonts w:ascii="Playfair Display" w:hAnsi="Playfair Display" w:eastAsia="Times New Roman" w:cs="Times New Roman"/>
                <w:sz w:val="20"/>
                <w:szCs w:val="20"/>
                <w:lang w:eastAsia="hu-HU"/>
              </w:rPr>
              <w:t>ek</w:t>
            </w:r>
            <w:r w:rsidRPr="000043B5">
              <w:rPr>
                <w:rFonts w:ascii="Playfair Display" w:hAnsi="Playfair Display" w:eastAsia="Times New Roman" w:cs="Times New Roman"/>
                <w:sz w:val="20"/>
                <w:szCs w:val="20"/>
                <w:lang w:eastAsia="hu-HU"/>
              </w:rPr>
              <w:t>:</w:t>
            </w:r>
            <w:r w:rsidR="00284F56">
              <w:rPr>
                <w:rFonts w:ascii="Playfair Display" w:hAnsi="Playfair Display" w:eastAsia="Times New Roman" w:cs="Times New Roman"/>
                <w:sz w:val="20"/>
                <w:szCs w:val="20"/>
                <w:lang w:eastAsia="hu-HU"/>
              </w:rPr>
              <w:t xml:space="preserve"> </w:t>
            </w:r>
            <w:r w:rsidRPr="00CE5184" w:rsidR="00CE5184">
              <w:rPr>
                <w:rFonts w:ascii="Playfair Display" w:hAnsi="Playfair Display" w:eastAsia="Times New Roman" w:cs="Times New Roman"/>
                <w:b/>
                <w:bCs/>
                <w:sz w:val="20"/>
                <w:szCs w:val="20"/>
                <w:lang w:eastAsia="hu-HU"/>
              </w:rPr>
              <w:t>Mentőtisz</w:t>
            </w:r>
            <w:r w:rsidR="00E319EA">
              <w:rPr>
                <w:rFonts w:ascii="Playfair Display" w:hAnsi="Playfair Display" w:eastAsia="Times New Roman" w:cs="Times New Roman"/>
                <w:b/>
                <w:bCs/>
                <w:sz w:val="20"/>
                <w:szCs w:val="20"/>
                <w:lang w:eastAsia="hu-HU"/>
              </w:rPr>
              <w:t>t</w:t>
            </w:r>
            <w:r w:rsidRPr="00CE5184" w:rsidR="00CE5184">
              <w:rPr>
                <w:rFonts w:ascii="Playfair Display" w:hAnsi="Playfair Display" w:eastAsia="Times New Roman" w:cs="Times New Roman"/>
                <w:b/>
                <w:bCs/>
                <w:sz w:val="20"/>
                <w:szCs w:val="20"/>
                <w:lang w:eastAsia="hu-HU"/>
              </w:rPr>
              <w:t>i terápiás ismeretek</w:t>
            </w:r>
          </w:p>
        </w:tc>
      </w:tr>
      <w:tr w:rsidRPr="000043B5" w:rsidR="00DE2351" w:rsidTr="476229D4" w14:paraId="46814628" w14:textId="77777777">
        <w:trPr>
          <w:jc w:val="center"/>
        </w:trPr>
        <w:tc>
          <w:tcPr>
            <w:tcW w:w="8874" w:type="dxa"/>
            <w:gridSpan w:val="3"/>
            <w:tcBorders>
              <w:top w:val="single" w:color="auto" w:sz="4" w:space="0"/>
              <w:left w:val="single" w:color="auto" w:sz="4" w:space="0"/>
              <w:bottom w:val="dotted" w:color="auto" w:sz="4" w:space="0"/>
              <w:right w:val="single" w:color="auto" w:sz="4" w:space="0"/>
            </w:tcBorders>
            <w:shd w:val="clear" w:color="auto" w:fill="auto"/>
            <w:tcMar>
              <w:top w:w="57" w:type="dxa"/>
              <w:bottom w:w="57" w:type="dxa"/>
            </w:tcMar>
          </w:tcPr>
          <w:p w:rsidRPr="000043B5" w:rsidR="00DE2351" w:rsidP="00254EA5" w:rsidRDefault="00DE2351" w14:paraId="3ADCDFC4" w14:textId="77777777">
            <w:pPr>
              <w:suppressAutoHyphens/>
              <w:spacing w:after="0" w:line="240" w:lineRule="auto"/>
              <w:jc w:val="both"/>
              <w:rPr>
                <w:rFonts w:ascii="Playfair Display" w:hAnsi="Playfair Display" w:eastAsia="Times New Roman" w:cs="Times New Roman"/>
                <w:b/>
                <w:sz w:val="20"/>
                <w:szCs w:val="20"/>
                <w:lang w:eastAsia="hu-HU"/>
              </w:rPr>
            </w:pPr>
            <w:r w:rsidRPr="000043B5">
              <w:rPr>
                <w:rFonts w:ascii="Playfair Display" w:hAnsi="Playfair Display" w:eastAsia="Times New Roman" w:cs="Times New Roman"/>
                <w:b/>
                <w:sz w:val="20"/>
                <w:szCs w:val="20"/>
                <w:lang w:eastAsia="hu-HU"/>
              </w:rPr>
              <w:t>Tantárgy-leírás</w:t>
            </w:r>
            <w:r w:rsidRPr="000043B5">
              <w:rPr>
                <w:rFonts w:ascii="Playfair Display" w:hAnsi="Playfair Display" w:eastAsia="Times New Roman" w:cs="Times New Roman"/>
                <w:sz w:val="20"/>
                <w:szCs w:val="20"/>
                <w:lang w:eastAsia="hu-HU"/>
              </w:rPr>
              <w:t xml:space="preserve">: az elsajátítandó </w:t>
            </w:r>
            <w:r w:rsidRPr="000043B5">
              <w:rPr>
                <w:rFonts w:ascii="Playfair Display" w:hAnsi="Playfair Display" w:eastAsia="Times New Roman" w:cs="Times New Roman"/>
                <w:b/>
                <w:sz w:val="20"/>
                <w:szCs w:val="20"/>
                <w:lang w:eastAsia="hu-HU"/>
              </w:rPr>
              <w:t>ismeretanyag tömör, ugyanakkor informáló leírása</w:t>
            </w:r>
          </w:p>
        </w:tc>
      </w:tr>
      <w:tr w:rsidRPr="000043B5" w:rsidR="00DE2351" w:rsidTr="476229D4" w14:paraId="3E6283B5" w14:textId="77777777">
        <w:trPr>
          <w:trHeight w:val="347"/>
          <w:jc w:val="center"/>
        </w:trPr>
        <w:tc>
          <w:tcPr>
            <w:tcW w:w="8874" w:type="dxa"/>
            <w:gridSpan w:val="3"/>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F263BC" w:rsidR="00F263BC" w:rsidP="00F263BC" w:rsidRDefault="00F263BC" w14:paraId="5A97BAFD" w14:textId="77777777">
            <w:pPr>
              <w:spacing w:after="0" w:line="240" w:lineRule="auto"/>
              <w:jc w:val="both"/>
              <w:rPr>
                <w:rFonts w:ascii="Playfair Display" w:hAnsi="Playfair Display" w:eastAsia="Times New Roman" w:cs="Times New Roman"/>
                <w:sz w:val="20"/>
                <w:szCs w:val="20"/>
                <w:lang w:eastAsia="hu-HU"/>
              </w:rPr>
            </w:pPr>
            <w:r w:rsidRPr="00F263BC">
              <w:rPr>
                <w:rFonts w:ascii="Playfair Display" w:hAnsi="Playfair Display" w:eastAsia="Times New Roman" w:cs="Times New Roman"/>
                <w:sz w:val="20"/>
                <w:szCs w:val="20"/>
                <w:lang w:eastAsia="hu-HU"/>
              </w:rPr>
              <w:t xml:space="preserve">A tantárgy célja, hogy a hallgató megismerje a sürgősségi ellátást igénylő kórfolyamatok közös jellemzőit, zajlásdinamikáját, következményeit. Készségszinten alkalmazza a sürgősségi diagnosztika eszköztárát, a megfelelő diagnosztikus módszerek és eszközök kiválasztását. A leletek birtokában képessé válik a helyes csoportdiagnózis megállapítására, a szükséges beavatkozásokkiválasztására, szövődménymentes kivitelezésére. Ismerje az oxyológia tárgyát, alapfogalmait (időfaktor, csoportdiagnózis, priorizálás, triage, szállítási trauma), ellátási alapelveit, azok klinikai alkalmazását. </w:t>
            </w:r>
          </w:p>
          <w:p w:rsidRPr="000043B5" w:rsidR="00DE2351" w:rsidP="00F263BC" w:rsidRDefault="00F263BC" w14:paraId="6CE8E9E9" w14:textId="09ED650A">
            <w:pPr>
              <w:spacing w:after="0" w:line="240" w:lineRule="auto"/>
              <w:jc w:val="both"/>
              <w:rPr>
                <w:rFonts w:ascii="Playfair Display" w:hAnsi="Playfair Display" w:eastAsia="Times New Roman" w:cs="Times New Roman"/>
                <w:sz w:val="20"/>
                <w:szCs w:val="20"/>
                <w:lang w:eastAsia="hu-HU"/>
              </w:rPr>
            </w:pPr>
            <w:r w:rsidRPr="00F263BC">
              <w:rPr>
                <w:rFonts w:ascii="Playfair Display" w:hAnsi="Playfair Display" w:eastAsia="Times New Roman" w:cs="Times New Roman"/>
                <w:sz w:val="20"/>
                <w:szCs w:val="20"/>
                <w:lang w:eastAsia="hu-HU"/>
              </w:rPr>
              <w:t xml:space="preserve">Szervrendszerenként ismeri a gyakori kórfolyamatok diagnosztikus módszereit, kezelési alapelveit és algoritmusait. Ennek megfelelően képessé válik a kardiovaszkuláris kórfolyamatok, így különösen az atherosclerossial összefüggő kórképek (ACS, stroke, ASO), a szívritmuszavarok, kardialis vészhelyzetek (pre-arrest állapotok, cardialis decompensatio, sokkfolyamatok), a hypertóniával összefüggő, továbbá egyéb thromboembolias kórfolyamatok (így a pulmonalis embólia) akut ellátására, a definitív kezelés megválasztására, annak megszervezésére. Ugyancsak képessé válik a légzőrendszer gyulladásos eredetű kórfolyamatainak, az asthma bronchiale protokolloknak megfelelő kezelési stratégiájának megválasztására, megkezdésére. Felismeri az ARDS folyamatát, megkezdi ellátását. Képes az akut jellegű gastrointestinalis kórfolyamatok felismerésének, kivizsgálására, akut kezelésének megkezdésére, így a máj, az epeutak, a gyomor-bélrendszer és a hasnyálmirigy betegségei esetén. Felismeri az akut és krónikus veseelégtelenség állapotát, illetve az ahhoz vezető kórfolyamatokat, azok első ellátás megválasztására és megkezdésére képessé válik. Az endokrin rendszer akut kórfolyamatai közül képes az endokrin sürgősségi állapotok felismerésére, megelőzésére és az akut ellátás megkezdésére. Az anyagcsere </w:t>
            </w:r>
            <w:r w:rsidRPr="00F263BC">
              <w:rPr>
                <w:rFonts w:ascii="Playfair Display" w:hAnsi="Playfair Display" w:eastAsia="Times New Roman" w:cs="Times New Roman"/>
                <w:sz w:val="20"/>
                <w:szCs w:val="20"/>
                <w:lang w:eastAsia="hu-HU"/>
              </w:rPr>
              <w:lastRenderedPageBreak/>
              <w:t>betegségei közül képes a hyper- és dyslipidaemiak, illetve azokkal összefüggő akut kórfolyamatok, a diabetes mellitus és szövődményei, a folyadék- és ionháztartás zavarainak felismerésére, első ellátásának megkezdésére. A daganatos megbetegedések sürgősségi szövődményeit (onkológiai sürgősségi állapotok) felismerésére és kezelésére képes. Képes továbbá a belgyógyászati balesetek ellátásának megkezdésére, megszervezésére.</w:t>
            </w:r>
          </w:p>
        </w:tc>
      </w:tr>
      <w:tr w:rsidRPr="000043B5" w:rsidR="00DE2351" w:rsidTr="476229D4" w14:paraId="5CC590D6" w14:textId="77777777">
        <w:trPr>
          <w:trHeight w:val="388"/>
          <w:jc w:val="center"/>
        </w:trPr>
        <w:tc>
          <w:tcPr>
            <w:tcW w:w="8874" w:type="dxa"/>
            <w:gridSpan w:val="3"/>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Pr="000043B5" w:rsidR="00DE2351" w:rsidP="00254EA5" w:rsidRDefault="00DE2351" w14:paraId="64639E87" w14:textId="721FD7FD">
            <w:pPr>
              <w:suppressAutoHyphens/>
              <w:spacing w:after="0" w:line="240" w:lineRule="auto"/>
              <w:rPr>
                <w:rFonts w:ascii="Playfair Display" w:hAnsi="Playfair Display" w:eastAsia="Times New Roman" w:cs="Times New Roman"/>
                <w:sz w:val="20"/>
                <w:szCs w:val="20"/>
                <w:lang w:eastAsia="hu-HU"/>
              </w:rPr>
            </w:pPr>
            <w:r w:rsidRPr="000043B5">
              <w:rPr>
                <w:rFonts w:ascii="Playfair Display" w:hAnsi="Playfair Display" w:eastAsia="Times New Roman" w:cs="Times New Roman"/>
                <w:sz w:val="20"/>
                <w:szCs w:val="20"/>
                <w:lang w:eastAsia="hu-HU"/>
              </w:rPr>
              <w:lastRenderedPageBreak/>
              <w:t xml:space="preserve">A tantárgy részletes </w:t>
            </w:r>
            <w:r w:rsidRPr="000043B5">
              <w:rPr>
                <w:rFonts w:ascii="Playfair Display" w:hAnsi="Playfair Display" w:eastAsia="Times New Roman" w:cs="Times New Roman"/>
                <w:b/>
                <w:sz w:val="20"/>
                <w:szCs w:val="20"/>
                <w:lang w:eastAsia="hu-HU"/>
              </w:rPr>
              <w:t>tematikája nappali képzés</w:t>
            </w:r>
          </w:p>
        </w:tc>
      </w:tr>
      <w:tr w:rsidRPr="000043B5" w:rsidR="00DE2351" w:rsidTr="476229D4" w14:paraId="70C44811" w14:textId="77777777">
        <w:trPr>
          <w:trHeight w:val="564"/>
          <w:jc w:val="center"/>
        </w:trPr>
        <w:tc>
          <w:tcPr>
            <w:tcW w:w="989"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Pr="000043B5" w:rsidR="00DE2351" w:rsidP="00DE2351" w:rsidRDefault="00DE2351" w14:paraId="22523BE2" w14:textId="18118C5E">
            <w:pPr>
              <w:spacing w:after="0" w:line="240" w:lineRule="auto"/>
              <w:jc w:val="center"/>
              <w:rPr>
                <w:rFonts w:ascii="Playfair Display" w:hAnsi="Playfair Display" w:eastAsia="Times New Roman" w:cs="Times New Roman"/>
                <w:sz w:val="20"/>
                <w:szCs w:val="20"/>
                <w:lang w:eastAsia="hu-HU"/>
              </w:rPr>
            </w:pPr>
            <w:r w:rsidRPr="00DE2351">
              <w:rPr>
                <w:rFonts w:ascii="Playfair Display" w:hAnsi="Playfair Display" w:eastAsia="Times New Roman" w:cs="Times New Roman"/>
                <w:b/>
                <w:bCs/>
                <w:sz w:val="20"/>
                <w:szCs w:val="20"/>
                <w:lang w:eastAsia="hu-HU"/>
              </w:rPr>
              <w:t>Alkalom</w:t>
            </w:r>
          </w:p>
        </w:tc>
        <w:tc>
          <w:tcPr>
            <w:tcW w:w="7885" w:type="dxa"/>
            <w:gridSpan w:val="2"/>
            <w:tcBorders>
              <w:top w:val="dotted" w:color="auto" w:sz="4" w:space="0"/>
              <w:left w:val="single" w:color="auto" w:sz="4" w:space="0"/>
              <w:bottom w:val="single" w:color="auto" w:sz="4" w:space="0"/>
              <w:right w:val="single" w:color="auto" w:sz="4" w:space="0"/>
            </w:tcBorders>
            <w:shd w:val="clear" w:color="auto" w:fill="auto"/>
            <w:tcMar/>
            <w:vAlign w:val="center"/>
          </w:tcPr>
          <w:p w:rsidRPr="000043B5" w:rsidR="00DE2351" w:rsidP="00DE2351" w:rsidRDefault="00DE2351" w14:paraId="2D856018" w14:textId="7442BF2C">
            <w:pPr>
              <w:spacing w:after="0" w:line="240" w:lineRule="auto"/>
              <w:jc w:val="center"/>
              <w:rPr>
                <w:rFonts w:ascii="Playfair Display" w:hAnsi="Playfair Display" w:eastAsia="Times New Roman" w:cs="Times New Roman"/>
                <w:sz w:val="20"/>
                <w:szCs w:val="20"/>
                <w:lang w:eastAsia="hu-HU"/>
              </w:rPr>
            </w:pPr>
            <w:r w:rsidRPr="00DE2351">
              <w:rPr>
                <w:rFonts w:ascii="Playfair Display" w:hAnsi="Playfair Display" w:eastAsia="Times New Roman" w:cs="Times New Roman"/>
                <w:b/>
                <w:bCs/>
                <w:sz w:val="20"/>
                <w:szCs w:val="20"/>
                <w:lang w:eastAsia="hu-HU"/>
              </w:rPr>
              <w:t>Tananyag leírása</w:t>
            </w:r>
          </w:p>
        </w:tc>
      </w:tr>
      <w:tr w:rsidRPr="00BF6F8C" w:rsidR="00BF6F8C" w:rsidTr="476229D4" w14:paraId="0678E8BF" w14:textId="77777777">
        <w:trPr>
          <w:trHeight w:val="564"/>
          <w:jc w:val="center"/>
        </w:trPr>
        <w:tc>
          <w:tcPr>
            <w:tcW w:w="989"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Pr="00BF6F8C" w:rsidR="00BF6F8C" w:rsidP="00BF6F8C" w:rsidRDefault="00BF6F8C" w14:paraId="78B45952" w14:textId="0AEF0955">
            <w:pPr>
              <w:spacing w:after="0" w:line="240" w:lineRule="auto"/>
              <w:jc w:val="center"/>
              <w:rPr>
                <w:rFonts w:eastAsia="Times New Roman" w:cstheme="minorHAnsi"/>
                <w:lang w:eastAsia="hu-HU"/>
              </w:rPr>
            </w:pPr>
            <w:r w:rsidRPr="00BF6F8C">
              <w:rPr>
                <w:rFonts w:eastAsia="Times New Roman" w:cstheme="minorHAnsi"/>
                <w:lang w:eastAsia="hu-HU"/>
              </w:rPr>
              <w:t>1.</w:t>
            </w:r>
          </w:p>
        </w:tc>
        <w:tc>
          <w:tcPr>
            <w:tcW w:w="7885" w:type="dxa"/>
            <w:gridSpan w:val="2"/>
            <w:tcBorders>
              <w:top w:val="dotted" w:color="auto" w:sz="4" w:space="0"/>
              <w:left w:val="single" w:color="auto" w:sz="4" w:space="0"/>
              <w:bottom w:val="single" w:color="auto" w:sz="4" w:space="0"/>
              <w:right w:val="single" w:color="auto" w:sz="4" w:space="0"/>
            </w:tcBorders>
            <w:shd w:val="clear" w:color="auto" w:fill="auto"/>
            <w:tcMar/>
            <w:vAlign w:val="center"/>
          </w:tcPr>
          <w:p w:rsidRPr="00BF6F8C" w:rsidR="00BF6F8C" w:rsidP="00A63834" w:rsidRDefault="003C6EEF" w14:paraId="39D39E9E" w14:textId="5808BB43">
            <w:pPr>
              <w:spacing w:after="0" w:line="240" w:lineRule="auto"/>
              <w:jc w:val="both"/>
              <w:rPr>
                <w:rFonts w:eastAsia="Times New Roman" w:cstheme="minorHAnsi"/>
                <w:lang w:eastAsia="hu-HU"/>
              </w:rPr>
            </w:pPr>
            <w:r>
              <w:rPr>
                <w:rFonts w:eastAsia="Times New Roman" w:cstheme="minorHAnsi"/>
                <w:lang w:eastAsia="hu-HU"/>
              </w:rPr>
              <w:t xml:space="preserve">PULMONOLÓGIA I.: </w:t>
            </w:r>
            <w:r w:rsidRPr="00AC650C" w:rsidR="00AC650C">
              <w:rPr>
                <w:rFonts w:eastAsia="Times New Roman" w:cstheme="minorHAnsi"/>
                <w:lang w:eastAsia="hu-HU"/>
              </w:rPr>
              <w:t>Pulmonológiai fizikális és eszközök vizsgálóeljárások.</w:t>
            </w:r>
            <w:r w:rsidR="0074049F">
              <w:rPr>
                <w:rFonts w:eastAsia="Times New Roman" w:cstheme="minorHAnsi"/>
                <w:lang w:eastAsia="hu-HU"/>
              </w:rPr>
              <w:t xml:space="preserve"> (3 óra)</w:t>
            </w:r>
          </w:p>
        </w:tc>
      </w:tr>
      <w:tr w:rsidRPr="000043B5" w:rsidR="0090578B" w:rsidTr="476229D4" w14:paraId="78CC8F8C" w14:textId="77777777">
        <w:trPr>
          <w:trHeight w:val="379"/>
          <w:jc w:val="center"/>
        </w:trPr>
        <w:tc>
          <w:tcPr>
            <w:tcW w:w="989"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0043B5" w:rsidR="0090578B" w:rsidP="0090578B" w:rsidRDefault="0090578B" w14:paraId="4A9B70E5" w14:textId="789B66F9">
            <w:pPr>
              <w:spacing w:after="0" w:line="240" w:lineRule="auto"/>
              <w:jc w:val="center"/>
              <w:rPr>
                <w:rFonts w:ascii="Playfair Display" w:hAnsi="Playfair Display" w:eastAsia="Times New Roman" w:cs="Times New Roman"/>
                <w:sz w:val="20"/>
                <w:szCs w:val="20"/>
                <w:lang w:eastAsia="hu-HU"/>
              </w:rPr>
            </w:pPr>
            <w:r w:rsidRPr="00EE034B">
              <w:t>2.</w:t>
            </w:r>
          </w:p>
        </w:tc>
        <w:tc>
          <w:tcPr>
            <w:tcW w:w="7885" w:type="dxa"/>
            <w:gridSpan w:val="2"/>
            <w:tcBorders>
              <w:top w:val="dotted" w:color="auto" w:sz="4" w:space="0"/>
              <w:left w:val="single" w:color="auto" w:sz="4" w:space="0"/>
              <w:bottom w:val="single" w:color="auto" w:sz="4" w:space="0"/>
              <w:right w:val="single" w:color="auto" w:sz="4" w:space="0"/>
            </w:tcBorders>
            <w:shd w:val="clear" w:color="auto" w:fill="auto"/>
            <w:tcMar/>
          </w:tcPr>
          <w:p w:rsidRPr="000043B5" w:rsidR="0090578B" w:rsidP="00A63834" w:rsidRDefault="0090578B" w14:paraId="76140339" w14:textId="7AC3A962">
            <w:pPr>
              <w:spacing w:after="0" w:line="240" w:lineRule="auto"/>
              <w:jc w:val="both"/>
              <w:rPr>
                <w:rFonts w:ascii="Playfair Display" w:hAnsi="Playfair Display" w:eastAsia="Times New Roman" w:cs="Times New Roman"/>
                <w:sz w:val="20"/>
                <w:szCs w:val="20"/>
                <w:lang w:eastAsia="hu-HU"/>
              </w:rPr>
            </w:pPr>
            <w:r w:rsidRPr="00EE034B">
              <w:t>PULMONOLÓGIA II.: Rosszindulatú tüdőbetegségek és akut szövődményeik. Légzési elégtelenség és ellátása nem intenzív osztályon. (3 óra)</w:t>
            </w:r>
          </w:p>
        </w:tc>
      </w:tr>
      <w:tr w:rsidRPr="000043B5" w:rsidR="0090578B" w:rsidTr="476229D4" w14:paraId="07A3ED62" w14:textId="77777777">
        <w:trPr>
          <w:trHeight w:val="301"/>
          <w:jc w:val="center"/>
        </w:trPr>
        <w:tc>
          <w:tcPr>
            <w:tcW w:w="989"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0043B5" w:rsidR="0090578B" w:rsidP="0090578B" w:rsidRDefault="0090578B" w14:paraId="5AABF926" w14:textId="7C430F7B">
            <w:pPr>
              <w:spacing w:after="0" w:line="240" w:lineRule="auto"/>
              <w:jc w:val="center"/>
              <w:rPr>
                <w:rFonts w:ascii="Playfair Display" w:hAnsi="Playfair Display" w:eastAsia="Times New Roman" w:cs="Times New Roman"/>
                <w:sz w:val="20"/>
                <w:szCs w:val="20"/>
                <w:lang w:eastAsia="hu-HU"/>
              </w:rPr>
            </w:pPr>
            <w:r w:rsidRPr="00EE034B">
              <w:t>3.</w:t>
            </w:r>
          </w:p>
        </w:tc>
        <w:tc>
          <w:tcPr>
            <w:tcW w:w="7885" w:type="dxa"/>
            <w:gridSpan w:val="2"/>
            <w:tcBorders>
              <w:top w:val="dotted" w:color="auto" w:sz="4" w:space="0"/>
              <w:left w:val="single" w:color="auto" w:sz="4" w:space="0"/>
              <w:bottom w:val="single" w:color="auto" w:sz="4" w:space="0"/>
              <w:right w:val="single" w:color="auto" w:sz="4" w:space="0"/>
            </w:tcBorders>
            <w:shd w:val="clear" w:color="auto" w:fill="auto"/>
            <w:tcMar/>
          </w:tcPr>
          <w:p w:rsidRPr="000043B5" w:rsidR="0090578B" w:rsidP="00A63834" w:rsidRDefault="0090578B" w14:paraId="50A93D5D" w14:textId="60DBD37D">
            <w:pPr>
              <w:spacing w:after="0" w:line="240" w:lineRule="auto"/>
              <w:jc w:val="both"/>
              <w:rPr>
                <w:rFonts w:ascii="Playfair Display" w:hAnsi="Playfair Display" w:eastAsia="Times New Roman" w:cs="Times New Roman"/>
                <w:sz w:val="20"/>
                <w:szCs w:val="20"/>
                <w:lang w:eastAsia="hu-HU"/>
              </w:rPr>
            </w:pPr>
            <w:r w:rsidRPr="00EE034B">
              <w:t>PULMONOLÓGIA III.: Pulmonalis embólia, pulmonális hypertonia. Cysticus fibrosis. Interstitialis tüdőbetegségek, foglalkozási ártalmak. Pleura és a mediasztinum kórfolyamatai, ellátásuk. (3 óra)</w:t>
            </w:r>
          </w:p>
        </w:tc>
      </w:tr>
      <w:tr w:rsidRPr="000043B5" w:rsidR="0090578B" w:rsidTr="476229D4" w14:paraId="7800E398" w14:textId="77777777">
        <w:trPr>
          <w:trHeight w:val="309"/>
          <w:jc w:val="center"/>
        </w:trPr>
        <w:tc>
          <w:tcPr>
            <w:tcW w:w="989"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0043B5" w:rsidR="0090578B" w:rsidP="0090578B" w:rsidRDefault="0090578B" w14:paraId="36D67EDA" w14:textId="6A9FCE53">
            <w:pPr>
              <w:spacing w:after="0" w:line="240" w:lineRule="auto"/>
              <w:jc w:val="center"/>
              <w:rPr>
                <w:rFonts w:ascii="Playfair Display" w:hAnsi="Playfair Display" w:eastAsia="Times New Roman" w:cs="Times New Roman"/>
                <w:sz w:val="20"/>
                <w:szCs w:val="20"/>
                <w:lang w:eastAsia="hu-HU"/>
              </w:rPr>
            </w:pPr>
            <w:r w:rsidRPr="00EE034B">
              <w:t>4.</w:t>
            </w:r>
          </w:p>
        </w:tc>
        <w:tc>
          <w:tcPr>
            <w:tcW w:w="7885" w:type="dxa"/>
            <w:gridSpan w:val="2"/>
            <w:tcBorders>
              <w:top w:val="dotted" w:color="auto" w:sz="4" w:space="0"/>
              <w:left w:val="single" w:color="auto" w:sz="4" w:space="0"/>
              <w:bottom w:val="single" w:color="auto" w:sz="4" w:space="0"/>
              <w:right w:val="single" w:color="auto" w:sz="4" w:space="0"/>
            </w:tcBorders>
            <w:shd w:val="clear" w:color="auto" w:fill="auto"/>
            <w:tcMar/>
          </w:tcPr>
          <w:p w:rsidRPr="000043B5" w:rsidR="0090578B" w:rsidP="00A63834" w:rsidRDefault="0090578B" w14:paraId="21168534" w14:textId="1BB84310">
            <w:pPr>
              <w:spacing w:after="0" w:line="240" w:lineRule="auto"/>
              <w:jc w:val="both"/>
              <w:rPr>
                <w:rFonts w:ascii="Playfair Display" w:hAnsi="Playfair Display" w:eastAsia="Times New Roman" w:cs="Times New Roman"/>
                <w:sz w:val="20"/>
                <w:szCs w:val="20"/>
                <w:lang w:eastAsia="hu-HU"/>
              </w:rPr>
            </w:pPr>
            <w:r w:rsidRPr="00EE034B">
              <w:t>PULMONOLÓGIA IV.: Mellkassebészeti beavatkozások: thoracostomia, mellkasi drenázs indikációi, kivitelezése. Sürgősségi megfontolások. Köhögés, köpetürítés elkülönítő kórisméje, a sürgősségi ellátó teendői. Mellkasi fájdalmat okozó pulmonológiai kórfolyamatok, elkülönítő kórisme. Esetbemutatás (3 óra)</w:t>
            </w:r>
          </w:p>
        </w:tc>
      </w:tr>
      <w:tr w:rsidRPr="000043B5" w:rsidR="0090578B" w:rsidTr="476229D4" w14:paraId="2A9F19C1" w14:textId="77777777">
        <w:trPr>
          <w:trHeight w:val="285"/>
          <w:jc w:val="center"/>
        </w:trPr>
        <w:tc>
          <w:tcPr>
            <w:tcW w:w="989"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0043B5" w:rsidR="0090578B" w:rsidP="0090578B" w:rsidRDefault="0090578B" w14:paraId="552837E7" w14:textId="7C4760AF">
            <w:pPr>
              <w:spacing w:after="0" w:line="240" w:lineRule="auto"/>
              <w:jc w:val="center"/>
              <w:rPr>
                <w:rFonts w:ascii="Playfair Display" w:hAnsi="Playfair Display" w:eastAsia="Times New Roman" w:cs="Times New Roman"/>
                <w:sz w:val="20"/>
                <w:szCs w:val="20"/>
                <w:lang w:eastAsia="hu-HU"/>
              </w:rPr>
            </w:pPr>
            <w:r w:rsidRPr="00EE034B">
              <w:t>5.</w:t>
            </w:r>
          </w:p>
        </w:tc>
        <w:tc>
          <w:tcPr>
            <w:tcW w:w="7885" w:type="dxa"/>
            <w:gridSpan w:val="2"/>
            <w:tcBorders>
              <w:top w:val="dotted" w:color="auto" w:sz="4" w:space="0"/>
              <w:left w:val="single" w:color="auto" w:sz="4" w:space="0"/>
              <w:bottom w:val="single" w:color="auto" w:sz="4" w:space="0"/>
              <w:right w:val="single" w:color="auto" w:sz="4" w:space="0"/>
            </w:tcBorders>
            <w:shd w:val="clear" w:color="auto" w:fill="auto"/>
            <w:tcMar/>
          </w:tcPr>
          <w:p w:rsidRPr="000043B5" w:rsidR="0090578B" w:rsidP="00A63834" w:rsidRDefault="0090578B" w14:paraId="08F49905" w14:textId="2E6394B8">
            <w:pPr>
              <w:spacing w:after="0" w:line="240" w:lineRule="auto"/>
              <w:jc w:val="both"/>
              <w:rPr>
                <w:rFonts w:ascii="Playfair Display" w:hAnsi="Playfair Display" w:eastAsia="Times New Roman" w:cs="Times New Roman"/>
                <w:sz w:val="20"/>
                <w:szCs w:val="20"/>
                <w:lang w:eastAsia="hu-HU"/>
              </w:rPr>
            </w:pPr>
            <w:r w:rsidRPr="00EE034B">
              <w:t>FÜL-ORR-GÉGÉSZET I.: A fül-orr-gégészet tárgya, vizsgálómódszerei. Sürgősségi ellátást igénylő légúti kórfolyamatok klinikuma, differenciáldiagnosztikája. Légúti idegentest és ellátásnak lehetőségei klinikai környezetben. (3 óra)</w:t>
            </w:r>
          </w:p>
        </w:tc>
      </w:tr>
      <w:tr w:rsidRPr="000043B5" w:rsidR="0090578B" w:rsidTr="476229D4" w14:paraId="54380411" w14:textId="77777777">
        <w:trPr>
          <w:trHeight w:val="319"/>
          <w:jc w:val="center"/>
        </w:trPr>
        <w:tc>
          <w:tcPr>
            <w:tcW w:w="989"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0043B5" w:rsidR="0090578B" w:rsidP="0090578B" w:rsidRDefault="0090578B" w14:paraId="34ABB8C9" w14:textId="507A92FC">
            <w:pPr>
              <w:spacing w:after="0" w:line="240" w:lineRule="auto"/>
              <w:jc w:val="center"/>
              <w:rPr>
                <w:rFonts w:ascii="Playfair Display" w:hAnsi="Playfair Display" w:eastAsia="Times New Roman" w:cs="Times New Roman"/>
                <w:sz w:val="20"/>
                <w:szCs w:val="20"/>
                <w:lang w:eastAsia="hu-HU"/>
              </w:rPr>
            </w:pPr>
            <w:r w:rsidRPr="00EE034B">
              <w:t>6.</w:t>
            </w:r>
          </w:p>
        </w:tc>
        <w:tc>
          <w:tcPr>
            <w:tcW w:w="7885" w:type="dxa"/>
            <w:gridSpan w:val="2"/>
            <w:tcBorders>
              <w:top w:val="dotted" w:color="auto" w:sz="4" w:space="0"/>
              <w:left w:val="single" w:color="auto" w:sz="4" w:space="0"/>
              <w:bottom w:val="single" w:color="auto" w:sz="4" w:space="0"/>
              <w:right w:val="single" w:color="auto" w:sz="4" w:space="0"/>
            </w:tcBorders>
            <w:shd w:val="clear" w:color="auto" w:fill="auto"/>
            <w:tcMar/>
          </w:tcPr>
          <w:p w:rsidRPr="000043B5" w:rsidR="0090578B" w:rsidP="00A63834" w:rsidRDefault="0090578B" w14:paraId="0EAE6A7D" w14:textId="1D79DFA1">
            <w:pPr>
              <w:spacing w:after="0" w:line="240" w:lineRule="auto"/>
              <w:jc w:val="both"/>
              <w:rPr>
                <w:rFonts w:ascii="Playfair Display" w:hAnsi="Playfair Display" w:eastAsia="Times New Roman" w:cs="Times New Roman"/>
                <w:sz w:val="20"/>
                <w:szCs w:val="20"/>
                <w:lang w:eastAsia="hu-HU"/>
              </w:rPr>
            </w:pPr>
            <w:r w:rsidRPr="00EE034B">
              <w:t>FÜL-ORR-GÉGÉSZET II.: A nyak elváltozásai, sürgősségi ellátást igénylő fej-nyak sebészeti kórfolyamatok A gége kórfolyamatai. A rekedtség okai. A szájüreg és a garat betegségei: gyulladásos, jóindulatú és malignus kórfolyamatok, szövődményeik. (3 óra)</w:t>
            </w:r>
          </w:p>
        </w:tc>
      </w:tr>
      <w:tr w:rsidRPr="000043B5" w:rsidR="0090578B" w:rsidTr="476229D4" w14:paraId="77DB4487" w14:textId="77777777">
        <w:trPr>
          <w:trHeight w:val="319"/>
          <w:jc w:val="center"/>
        </w:trPr>
        <w:tc>
          <w:tcPr>
            <w:tcW w:w="989"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0090578B" w:rsidP="0090578B" w:rsidRDefault="0090578B" w14:paraId="065BE59A" w14:textId="6F59E656">
            <w:pPr>
              <w:spacing w:after="0" w:line="240" w:lineRule="auto"/>
              <w:jc w:val="center"/>
              <w:rPr>
                <w:rFonts w:ascii="Playfair Display" w:hAnsi="Playfair Display" w:eastAsia="Times New Roman" w:cs="Times New Roman"/>
                <w:sz w:val="20"/>
                <w:szCs w:val="20"/>
                <w:lang w:eastAsia="hu-HU"/>
              </w:rPr>
            </w:pPr>
            <w:r w:rsidRPr="00EE034B">
              <w:t>7.</w:t>
            </w:r>
          </w:p>
        </w:tc>
        <w:tc>
          <w:tcPr>
            <w:tcW w:w="7885" w:type="dxa"/>
            <w:gridSpan w:val="2"/>
            <w:tcBorders>
              <w:top w:val="dotted" w:color="auto" w:sz="4" w:space="0"/>
              <w:left w:val="single" w:color="auto" w:sz="4" w:space="0"/>
              <w:bottom w:val="single" w:color="auto" w:sz="4" w:space="0"/>
              <w:right w:val="single" w:color="auto" w:sz="4" w:space="0"/>
            </w:tcBorders>
            <w:shd w:val="clear" w:color="auto" w:fill="auto"/>
            <w:tcMar/>
          </w:tcPr>
          <w:p w:rsidRPr="000043B5" w:rsidR="0090578B" w:rsidP="00A63834" w:rsidRDefault="0090578B" w14:paraId="0E83F85A" w14:textId="32670B0E">
            <w:pPr>
              <w:spacing w:after="0" w:line="240" w:lineRule="auto"/>
              <w:jc w:val="both"/>
              <w:rPr>
                <w:rFonts w:ascii="Playfair Display" w:hAnsi="Playfair Display" w:eastAsia="Times New Roman" w:cs="Times New Roman"/>
                <w:sz w:val="20"/>
                <w:szCs w:val="20"/>
                <w:lang w:eastAsia="hu-HU"/>
              </w:rPr>
            </w:pPr>
            <w:r w:rsidRPr="00EE034B">
              <w:t>FÜL-ORR-GÉGÉSZET III.: Az orr betegsége: orrdugulás differenciáldiagnosztikája. Az epistaxis okai és ellátása (klinikai keretek közötti is). Az orr-melléküregek betegségei. Trauma fül-orr-gégészeti következményei és a sérülések ellátása. Fontosabb fül-orr-gégészeti műtéti ellátásuk, perioperatív és műtétek utáni sürgősségi teendők. (3 óra)</w:t>
            </w:r>
          </w:p>
        </w:tc>
      </w:tr>
      <w:tr w:rsidRPr="000043B5" w:rsidR="0090578B" w:rsidTr="476229D4" w14:paraId="1A366294" w14:textId="77777777">
        <w:trPr>
          <w:trHeight w:val="319"/>
          <w:jc w:val="center"/>
        </w:trPr>
        <w:tc>
          <w:tcPr>
            <w:tcW w:w="989"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0090578B" w:rsidP="0090578B" w:rsidRDefault="0090578B" w14:paraId="3BC0E4D7" w14:textId="00FB9502">
            <w:pPr>
              <w:spacing w:after="0" w:line="240" w:lineRule="auto"/>
              <w:jc w:val="center"/>
              <w:rPr>
                <w:rFonts w:ascii="Playfair Display" w:hAnsi="Playfair Display" w:eastAsia="Times New Roman" w:cs="Times New Roman"/>
                <w:sz w:val="20"/>
                <w:szCs w:val="20"/>
                <w:lang w:eastAsia="hu-HU"/>
              </w:rPr>
            </w:pPr>
            <w:r w:rsidRPr="00EE034B">
              <w:t>8.</w:t>
            </w:r>
          </w:p>
        </w:tc>
        <w:tc>
          <w:tcPr>
            <w:tcW w:w="7885" w:type="dxa"/>
            <w:gridSpan w:val="2"/>
            <w:tcBorders>
              <w:top w:val="dotted" w:color="auto" w:sz="4" w:space="0"/>
              <w:left w:val="single" w:color="auto" w:sz="4" w:space="0"/>
              <w:bottom w:val="single" w:color="auto" w:sz="4" w:space="0"/>
              <w:right w:val="single" w:color="auto" w:sz="4" w:space="0"/>
            </w:tcBorders>
            <w:shd w:val="clear" w:color="auto" w:fill="auto"/>
            <w:tcMar/>
          </w:tcPr>
          <w:p w:rsidRPr="000043B5" w:rsidR="0090578B" w:rsidP="00A63834" w:rsidRDefault="0090578B" w14:paraId="7217E844" w14:textId="0B1CF0A5">
            <w:pPr>
              <w:spacing w:after="0" w:line="240" w:lineRule="auto"/>
              <w:jc w:val="both"/>
              <w:rPr>
                <w:rFonts w:ascii="Playfair Display" w:hAnsi="Playfair Display" w:eastAsia="Times New Roman" w:cs="Times New Roman"/>
                <w:sz w:val="20"/>
                <w:szCs w:val="20"/>
                <w:lang w:eastAsia="hu-HU"/>
              </w:rPr>
            </w:pPr>
            <w:r w:rsidRPr="00EE034B">
              <w:t>FÜL-ORR-GÉGÉSZET IV.: Sudden deafness (hirtelen hallásvesztés) okai, elkülönítő kórisméje, sürgősségi teendők. A külső- és középfül betegségei és ellátásuk. Az otoscopia jelentősége, módszere. Otoneurológiai alapok: a szédülés fül-orr-gégészeti okai, kivizsgálása: tünetek, panaszok, statokinetikus próbák. Kórokok, akut teendők és terápiás lehetőségek. (3 óra)</w:t>
            </w:r>
          </w:p>
        </w:tc>
      </w:tr>
      <w:tr w:rsidRPr="000043B5" w:rsidR="0090578B" w:rsidTr="476229D4" w14:paraId="04045B87" w14:textId="77777777">
        <w:trPr>
          <w:trHeight w:val="319"/>
          <w:jc w:val="center"/>
        </w:trPr>
        <w:tc>
          <w:tcPr>
            <w:tcW w:w="989"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0090578B" w:rsidP="0090578B" w:rsidRDefault="0090578B" w14:paraId="405814D2" w14:textId="2C13EBD2">
            <w:pPr>
              <w:spacing w:after="0" w:line="240" w:lineRule="auto"/>
              <w:jc w:val="center"/>
              <w:rPr>
                <w:rFonts w:ascii="Playfair Display" w:hAnsi="Playfair Display" w:eastAsia="Times New Roman" w:cs="Times New Roman"/>
                <w:sz w:val="20"/>
                <w:szCs w:val="20"/>
                <w:lang w:eastAsia="hu-HU"/>
              </w:rPr>
            </w:pPr>
            <w:r w:rsidRPr="00EE034B">
              <w:t>9.</w:t>
            </w:r>
          </w:p>
        </w:tc>
        <w:tc>
          <w:tcPr>
            <w:tcW w:w="7885" w:type="dxa"/>
            <w:gridSpan w:val="2"/>
            <w:tcBorders>
              <w:top w:val="dotted" w:color="auto" w:sz="4" w:space="0"/>
              <w:left w:val="single" w:color="auto" w:sz="4" w:space="0"/>
              <w:bottom w:val="single" w:color="auto" w:sz="4" w:space="0"/>
              <w:right w:val="single" w:color="auto" w:sz="4" w:space="0"/>
            </w:tcBorders>
            <w:shd w:val="clear" w:color="auto" w:fill="auto"/>
            <w:tcMar/>
          </w:tcPr>
          <w:p w:rsidRPr="000043B5" w:rsidR="0090578B" w:rsidP="00A63834" w:rsidRDefault="0090578B" w14:paraId="0E238725" w14:textId="32B69975">
            <w:pPr>
              <w:spacing w:after="0" w:line="240" w:lineRule="auto"/>
              <w:jc w:val="both"/>
              <w:rPr>
                <w:rFonts w:ascii="Playfair Display" w:hAnsi="Playfair Display" w:eastAsia="Times New Roman" w:cs="Times New Roman"/>
                <w:sz w:val="20"/>
                <w:szCs w:val="20"/>
                <w:lang w:eastAsia="hu-HU"/>
              </w:rPr>
            </w:pPr>
            <w:r w:rsidRPr="00EE034B">
              <w:t>OXYOLÓGIA A+B I.: A légút (Á) definíciója, klinikai anatómiája: konduktív és respiratórikus szakaszok, morfológiai különbségek. A légzőrendszer (B) klinikai anatómiája, légzési térfogatok. (2 óra)</w:t>
            </w:r>
          </w:p>
        </w:tc>
      </w:tr>
      <w:tr w:rsidRPr="000043B5" w:rsidR="0090578B" w:rsidTr="476229D4" w14:paraId="32AD473B" w14:textId="77777777">
        <w:trPr>
          <w:trHeight w:val="319"/>
          <w:jc w:val="center"/>
        </w:trPr>
        <w:tc>
          <w:tcPr>
            <w:tcW w:w="989"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0090578B" w:rsidP="0090578B" w:rsidRDefault="0090578B" w14:paraId="7AECC492" w14:textId="3AF22B75">
            <w:pPr>
              <w:spacing w:after="0" w:line="240" w:lineRule="auto"/>
              <w:jc w:val="center"/>
              <w:rPr>
                <w:rFonts w:ascii="Playfair Display" w:hAnsi="Playfair Display" w:eastAsia="Times New Roman" w:cs="Times New Roman"/>
                <w:sz w:val="20"/>
                <w:szCs w:val="20"/>
                <w:lang w:eastAsia="hu-HU"/>
              </w:rPr>
            </w:pPr>
            <w:r w:rsidRPr="00EE034B">
              <w:t>10.</w:t>
            </w:r>
          </w:p>
        </w:tc>
        <w:tc>
          <w:tcPr>
            <w:tcW w:w="7885" w:type="dxa"/>
            <w:gridSpan w:val="2"/>
            <w:tcBorders>
              <w:top w:val="dotted" w:color="auto" w:sz="4" w:space="0"/>
              <w:left w:val="single" w:color="auto" w:sz="4" w:space="0"/>
              <w:bottom w:val="single" w:color="auto" w:sz="4" w:space="0"/>
              <w:right w:val="single" w:color="auto" w:sz="4" w:space="0"/>
            </w:tcBorders>
            <w:shd w:val="clear" w:color="auto" w:fill="auto"/>
            <w:tcMar/>
          </w:tcPr>
          <w:p w:rsidRPr="000043B5" w:rsidR="0090578B" w:rsidP="00A63834" w:rsidRDefault="0090578B" w14:paraId="683E220D" w14:textId="1DDA66EB">
            <w:pPr>
              <w:spacing w:after="0" w:line="240" w:lineRule="auto"/>
              <w:jc w:val="both"/>
              <w:rPr>
                <w:rFonts w:ascii="Playfair Display" w:hAnsi="Playfair Display" w:eastAsia="Times New Roman" w:cs="Times New Roman"/>
                <w:sz w:val="20"/>
                <w:szCs w:val="20"/>
                <w:lang w:eastAsia="hu-HU"/>
              </w:rPr>
            </w:pPr>
            <w:r w:rsidRPr="00EE034B">
              <w:t>OXYOLÓGIA A+B II.: A légút átjárhatóságát biztosító beavatkozások és eszközök. A légút fenntartására képes beavatkozások és eszközök. (2 óra)</w:t>
            </w:r>
          </w:p>
        </w:tc>
      </w:tr>
      <w:tr w:rsidRPr="000043B5" w:rsidR="0090578B" w:rsidTr="476229D4" w14:paraId="3DA155F6" w14:textId="77777777">
        <w:trPr>
          <w:trHeight w:val="319"/>
          <w:jc w:val="center"/>
        </w:trPr>
        <w:tc>
          <w:tcPr>
            <w:tcW w:w="989"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0090578B" w:rsidP="0090578B" w:rsidRDefault="0090578B" w14:paraId="1DCA57FF" w14:textId="6515B515">
            <w:pPr>
              <w:spacing w:after="0" w:line="240" w:lineRule="auto"/>
              <w:jc w:val="center"/>
              <w:rPr>
                <w:rFonts w:ascii="Playfair Display" w:hAnsi="Playfair Display" w:eastAsia="Times New Roman" w:cs="Times New Roman"/>
                <w:sz w:val="20"/>
                <w:szCs w:val="20"/>
                <w:lang w:eastAsia="hu-HU"/>
              </w:rPr>
            </w:pPr>
            <w:r w:rsidRPr="00EE034B">
              <w:t>11.</w:t>
            </w:r>
          </w:p>
        </w:tc>
        <w:tc>
          <w:tcPr>
            <w:tcW w:w="7885" w:type="dxa"/>
            <w:gridSpan w:val="2"/>
            <w:tcBorders>
              <w:top w:val="dotted" w:color="auto" w:sz="4" w:space="0"/>
              <w:left w:val="single" w:color="auto" w:sz="4" w:space="0"/>
              <w:bottom w:val="single" w:color="auto" w:sz="4" w:space="0"/>
              <w:right w:val="single" w:color="auto" w:sz="4" w:space="0"/>
            </w:tcBorders>
            <w:shd w:val="clear" w:color="auto" w:fill="auto"/>
            <w:tcMar/>
          </w:tcPr>
          <w:p w:rsidRPr="000043B5" w:rsidR="0090578B" w:rsidP="00A63834" w:rsidRDefault="0090578B" w14:paraId="769E9AB0" w14:textId="4123B9DE">
            <w:pPr>
              <w:spacing w:after="0" w:line="240" w:lineRule="auto"/>
              <w:jc w:val="both"/>
              <w:rPr>
                <w:rFonts w:ascii="Playfair Display" w:hAnsi="Playfair Display" w:eastAsia="Times New Roman" w:cs="Times New Roman"/>
                <w:sz w:val="20"/>
                <w:szCs w:val="20"/>
                <w:lang w:eastAsia="hu-HU"/>
              </w:rPr>
            </w:pPr>
            <w:r w:rsidRPr="00EE034B">
              <w:t>OXYOLÓGIA A+B III.: A légút biztosítási nehezítettségének megítélési lehetőségei. A nehéz légút definíciói, szintjei. (2 óra)</w:t>
            </w:r>
          </w:p>
        </w:tc>
      </w:tr>
      <w:tr w:rsidRPr="000043B5" w:rsidR="0090578B" w:rsidTr="476229D4" w14:paraId="6A240189" w14:textId="77777777">
        <w:trPr>
          <w:trHeight w:val="319"/>
          <w:jc w:val="center"/>
        </w:trPr>
        <w:tc>
          <w:tcPr>
            <w:tcW w:w="989"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0090578B" w:rsidP="0090578B" w:rsidRDefault="0090578B" w14:paraId="575F3C28" w14:textId="5E3DBC5B">
            <w:pPr>
              <w:spacing w:after="0" w:line="240" w:lineRule="auto"/>
              <w:jc w:val="center"/>
              <w:rPr>
                <w:rFonts w:ascii="Playfair Display" w:hAnsi="Playfair Display" w:eastAsia="Times New Roman" w:cs="Times New Roman"/>
                <w:sz w:val="20"/>
                <w:szCs w:val="20"/>
                <w:lang w:eastAsia="hu-HU"/>
              </w:rPr>
            </w:pPr>
            <w:r w:rsidRPr="00EE034B">
              <w:t>12.</w:t>
            </w:r>
          </w:p>
        </w:tc>
        <w:tc>
          <w:tcPr>
            <w:tcW w:w="7885" w:type="dxa"/>
            <w:gridSpan w:val="2"/>
            <w:tcBorders>
              <w:top w:val="dotted" w:color="auto" w:sz="4" w:space="0"/>
              <w:left w:val="single" w:color="auto" w:sz="4" w:space="0"/>
              <w:bottom w:val="single" w:color="auto" w:sz="4" w:space="0"/>
              <w:right w:val="single" w:color="auto" w:sz="4" w:space="0"/>
            </w:tcBorders>
            <w:shd w:val="clear" w:color="auto" w:fill="auto"/>
            <w:tcMar/>
          </w:tcPr>
          <w:p w:rsidRPr="000043B5" w:rsidR="0090578B" w:rsidP="00A63834" w:rsidRDefault="0090578B" w14:paraId="7B93A4BE" w14:textId="3D717811">
            <w:pPr>
              <w:spacing w:after="0" w:line="240" w:lineRule="auto"/>
              <w:jc w:val="both"/>
              <w:rPr>
                <w:rFonts w:ascii="Playfair Display" w:hAnsi="Playfair Display" w:eastAsia="Times New Roman" w:cs="Times New Roman"/>
                <w:sz w:val="20"/>
                <w:szCs w:val="20"/>
                <w:lang w:eastAsia="hu-HU"/>
              </w:rPr>
            </w:pPr>
            <w:r w:rsidRPr="00EE034B">
              <w:t>OXYOLÓGIA A+B IV.: Légútbiztosítás supraglotticus eszközökkel: indikációk, nehézségek. (2 óra)</w:t>
            </w:r>
          </w:p>
        </w:tc>
      </w:tr>
      <w:tr w:rsidRPr="000043B5" w:rsidR="0090578B" w:rsidTr="476229D4" w14:paraId="41A866EF" w14:textId="77777777">
        <w:trPr>
          <w:trHeight w:val="319"/>
          <w:jc w:val="center"/>
        </w:trPr>
        <w:tc>
          <w:tcPr>
            <w:tcW w:w="989"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0090578B" w:rsidP="0090578B" w:rsidRDefault="0090578B" w14:paraId="5C585D92" w14:textId="41A45D2E">
            <w:pPr>
              <w:spacing w:after="0" w:line="240" w:lineRule="auto"/>
              <w:jc w:val="center"/>
              <w:rPr>
                <w:rFonts w:ascii="Playfair Display" w:hAnsi="Playfair Display" w:eastAsia="Times New Roman" w:cs="Times New Roman"/>
                <w:sz w:val="20"/>
                <w:szCs w:val="20"/>
                <w:lang w:eastAsia="hu-HU"/>
              </w:rPr>
            </w:pPr>
            <w:r w:rsidRPr="00EE034B">
              <w:lastRenderedPageBreak/>
              <w:t>13.</w:t>
            </w:r>
          </w:p>
        </w:tc>
        <w:tc>
          <w:tcPr>
            <w:tcW w:w="7885" w:type="dxa"/>
            <w:gridSpan w:val="2"/>
            <w:tcBorders>
              <w:top w:val="dotted" w:color="auto" w:sz="4" w:space="0"/>
              <w:left w:val="single" w:color="auto" w:sz="4" w:space="0"/>
              <w:bottom w:val="single" w:color="auto" w:sz="4" w:space="0"/>
              <w:right w:val="single" w:color="auto" w:sz="4" w:space="0"/>
            </w:tcBorders>
            <w:shd w:val="clear" w:color="auto" w:fill="auto"/>
            <w:tcMar/>
          </w:tcPr>
          <w:p w:rsidRPr="000043B5" w:rsidR="0090578B" w:rsidP="00A63834" w:rsidRDefault="0090578B" w14:paraId="450A92A4" w14:textId="245AA7DB">
            <w:pPr>
              <w:spacing w:after="0" w:line="240" w:lineRule="auto"/>
              <w:jc w:val="both"/>
              <w:rPr>
                <w:rFonts w:ascii="Playfair Display" w:hAnsi="Playfair Display" w:eastAsia="Times New Roman" w:cs="Times New Roman"/>
                <w:sz w:val="20"/>
                <w:szCs w:val="20"/>
                <w:lang w:eastAsia="hu-HU"/>
              </w:rPr>
            </w:pPr>
            <w:r w:rsidRPr="00EE034B">
              <w:t>OXYOLÓGIA A+B V.: Endotrachealis intubatio kivitelezése. TSI, RSI, DSI, éber intubatios módszerek. (2 óra)</w:t>
            </w:r>
          </w:p>
        </w:tc>
      </w:tr>
      <w:tr w:rsidRPr="000043B5" w:rsidR="0090578B" w:rsidTr="476229D4" w14:paraId="19A38815" w14:textId="77777777">
        <w:trPr>
          <w:trHeight w:val="319"/>
          <w:jc w:val="center"/>
        </w:trPr>
        <w:tc>
          <w:tcPr>
            <w:tcW w:w="989"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0090578B" w:rsidP="0090578B" w:rsidRDefault="0090578B" w14:paraId="0385A364" w14:textId="4F4BE9BE">
            <w:pPr>
              <w:spacing w:after="0" w:line="240" w:lineRule="auto"/>
              <w:jc w:val="center"/>
              <w:rPr>
                <w:rFonts w:ascii="Playfair Display" w:hAnsi="Playfair Display" w:eastAsia="Times New Roman" w:cs="Times New Roman"/>
                <w:sz w:val="20"/>
                <w:szCs w:val="20"/>
                <w:lang w:eastAsia="hu-HU"/>
              </w:rPr>
            </w:pPr>
            <w:r w:rsidRPr="00EE034B">
              <w:t>14.</w:t>
            </w:r>
          </w:p>
        </w:tc>
        <w:tc>
          <w:tcPr>
            <w:tcW w:w="7885" w:type="dxa"/>
            <w:gridSpan w:val="2"/>
            <w:tcBorders>
              <w:top w:val="dotted" w:color="auto" w:sz="4" w:space="0"/>
              <w:left w:val="single" w:color="auto" w:sz="4" w:space="0"/>
              <w:bottom w:val="single" w:color="auto" w:sz="4" w:space="0"/>
              <w:right w:val="single" w:color="auto" w:sz="4" w:space="0"/>
            </w:tcBorders>
            <w:shd w:val="clear" w:color="auto" w:fill="auto"/>
            <w:tcMar/>
          </w:tcPr>
          <w:p w:rsidRPr="000043B5" w:rsidR="0090578B" w:rsidP="00A63834" w:rsidRDefault="0090578B" w14:paraId="38D9E143" w14:textId="3E43DEBF">
            <w:pPr>
              <w:spacing w:after="0" w:line="240" w:lineRule="auto"/>
              <w:jc w:val="both"/>
              <w:rPr>
                <w:rFonts w:ascii="Playfair Display" w:hAnsi="Playfair Display" w:eastAsia="Times New Roman" w:cs="Times New Roman"/>
                <w:sz w:val="20"/>
                <w:szCs w:val="20"/>
                <w:lang w:eastAsia="hu-HU"/>
              </w:rPr>
            </w:pPr>
            <w:r w:rsidRPr="00EE034B">
              <w:t>OXYOLÓGIA A+B VI.: Alternatív intubatios módszerek és lehetőségek: nasopharingealis, vak, retrográd intubatio, jégcsákány módszer, ülő beteg intubatioja. (2 óra)</w:t>
            </w:r>
          </w:p>
        </w:tc>
      </w:tr>
      <w:tr w:rsidRPr="000043B5" w:rsidR="0090578B" w:rsidTr="476229D4" w14:paraId="6FD9057E" w14:textId="77777777">
        <w:trPr>
          <w:trHeight w:val="319"/>
          <w:jc w:val="center"/>
        </w:trPr>
        <w:tc>
          <w:tcPr>
            <w:tcW w:w="989"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0090578B" w:rsidP="0090578B" w:rsidRDefault="0090578B" w14:paraId="00AEC0AA" w14:textId="3DFBCBE5">
            <w:pPr>
              <w:spacing w:after="0" w:line="240" w:lineRule="auto"/>
              <w:jc w:val="center"/>
              <w:rPr>
                <w:rFonts w:ascii="Playfair Display" w:hAnsi="Playfair Display" w:eastAsia="Times New Roman" w:cs="Times New Roman"/>
                <w:sz w:val="20"/>
                <w:szCs w:val="20"/>
                <w:lang w:eastAsia="hu-HU"/>
              </w:rPr>
            </w:pPr>
            <w:r w:rsidRPr="00EE034B">
              <w:t>15.</w:t>
            </w:r>
          </w:p>
        </w:tc>
        <w:tc>
          <w:tcPr>
            <w:tcW w:w="7885" w:type="dxa"/>
            <w:gridSpan w:val="2"/>
            <w:tcBorders>
              <w:top w:val="dotted" w:color="auto" w:sz="4" w:space="0"/>
              <w:left w:val="single" w:color="auto" w:sz="4" w:space="0"/>
              <w:bottom w:val="single" w:color="auto" w:sz="4" w:space="0"/>
              <w:right w:val="single" w:color="auto" w:sz="4" w:space="0"/>
            </w:tcBorders>
            <w:shd w:val="clear" w:color="auto" w:fill="auto"/>
            <w:tcMar/>
          </w:tcPr>
          <w:p w:rsidRPr="000043B5" w:rsidR="0090578B" w:rsidP="00A63834" w:rsidRDefault="0090578B" w14:paraId="4B21EEF5" w14:textId="7E49BBEA">
            <w:pPr>
              <w:spacing w:after="0" w:line="240" w:lineRule="auto"/>
              <w:jc w:val="both"/>
              <w:rPr>
                <w:rFonts w:ascii="Playfair Display" w:hAnsi="Playfair Display" w:eastAsia="Times New Roman" w:cs="Times New Roman"/>
                <w:sz w:val="20"/>
                <w:szCs w:val="20"/>
                <w:lang w:eastAsia="hu-HU"/>
              </w:rPr>
            </w:pPr>
            <w:r w:rsidRPr="00EE034B">
              <w:t>OXYOLÓGIA A+B VII.: Maszk-szelep-ballonos lélegeztetés, a lélegeztethetőség megítélése (MOANS) (2 óra)</w:t>
            </w:r>
          </w:p>
        </w:tc>
      </w:tr>
      <w:tr w:rsidRPr="000043B5" w:rsidR="0090578B" w:rsidTr="476229D4" w14:paraId="762C3C26" w14:textId="77777777">
        <w:trPr>
          <w:trHeight w:val="283"/>
          <w:jc w:val="center"/>
        </w:trPr>
        <w:tc>
          <w:tcPr>
            <w:tcW w:w="989"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0043B5" w:rsidR="0090578B" w:rsidP="0090578B" w:rsidRDefault="0090578B" w14:paraId="07255333" w14:textId="38603C3F">
            <w:pPr>
              <w:spacing w:after="0" w:line="240" w:lineRule="auto"/>
              <w:jc w:val="center"/>
              <w:rPr>
                <w:rFonts w:ascii="Playfair Display" w:hAnsi="Playfair Display" w:eastAsia="Times New Roman" w:cs="Times New Roman"/>
                <w:sz w:val="20"/>
                <w:szCs w:val="20"/>
                <w:lang w:eastAsia="hu-HU"/>
              </w:rPr>
            </w:pPr>
            <w:r w:rsidRPr="00EE034B">
              <w:t>16.</w:t>
            </w:r>
          </w:p>
        </w:tc>
        <w:tc>
          <w:tcPr>
            <w:tcW w:w="7885" w:type="dxa"/>
            <w:gridSpan w:val="2"/>
            <w:tcBorders>
              <w:top w:val="dotted" w:color="auto" w:sz="4" w:space="0"/>
              <w:left w:val="single" w:color="auto" w:sz="4" w:space="0"/>
              <w:bottom w:val="single" w:color="auto" w:sz="4" w:space="0"/>
              <w:right w:val="single" w:color="auto" w:sz="4" w:space="0"/>
            </w:tcBorders>
            <w:shd w:val="clear" w:color="auto" w:fill="auto"/>
            <w:tcMar/>
          </w:tcPr>
          <w:p w:rsidRPr="000043B5" w:rsidR="0090578B" w:rsidP="00A63834" w:rsidRDefault="0090578B" w14:paraId="726A6186" w14:textId="5443F8D0">
            <w:pPr>
              <w:spacing w:after="0" w:line="240" w:lineRule="auto"/>
              <w:jc w:val="both"/>
              <w:rPr>
                <w:rFonts w:ascii="Playfair Display" w:hAnsi="Playfair Display" w:eastAsia="Times New Roman" w:cs="Times New Roman"/>
                <w:sz w:val="20"/>
                <w:szCs w:val="20"/>
                <w:lang w:eastAsia="hu-HU"/>
              </w:rPr>
            </w:pPr>
            <w:r w:rsidRPr="00EE034B">
              <w:t>OXYOLÓGIA A+B VIII.: A nehezített légút biztosítása, az egyes szintek esetén alkalmazhatóalternatív módszerek: fiberopticus ETI, GEB alkalmazása, videolaryngoscopia. (2 óra)</w:t>
            </w:r>
          </w:p>
        </w:tc>
      </w:tr>
      <w:tr w:rsidRPr="000043B5" w:rsidR="00C46CB6" w:rsidTr="476229D4" w14:paraId="13B19C2C" w14:textId="77777777">
        <w:trPr>
          <w:trHeight w:val="283"/>
          <w:jc w:val="center"/>
        </w:trPr>
        <w:tc>
          <w:tcPr>
            <w:tcW w:w="989"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EE034B" w:rsidR="00C46CB6" w:rsidP="00C46CB6" w:rsidRDefault="00C46CB6" w14:paraId="4AA4D67B" w14:textId="08E9C3AF">
            <w:pPr>
              <w:spacing w:after="0" w:line="240" w:lineRule="auto"/>
              <w:jc w:val="center"/>
            </w:pPr>
            <w:r w:rsidRPr="00824519">
              <w:t>17.</w:t>
            </w:r>
          </w:p>
        </w:tc>
        <w:tc>
          <w:tcPr>
            <w:tcW w:w="7885" w:type="dxa"/>
            <w:gridSpan w:val="2"/>
            <w:tcBorders>
              <w:top w:val="dotted" w:color="auto" w:sz="4" w:space="0"/>
              <w:left w:val="single" w:color="auto" w:sz="4" w:space="0"/>
              <w:bottom w:val="single" w:color="auto" w:sz="4" w:space="0"/>
              <w:right w:val="single" w:color="auto" w:sz="4" w:space="0"/>
            </w:tcBorders>
            <w:shd w:val="clear" w:color="auto" w:fill="auto"/>
            <w:tcMar/>
          </w:tcPr>
          <w:p w:rsidRPr="00EE034B" w:rsidR="00C46CB6" w:rsidP="00A63834" w:rsidRDefault="00C46CB6" w14:paraId="30C51489" w14:textId="0B04B4B1">
            <w:pPr>
              <w:spacing w:after="0" w:line="240" w:lineRule="auto"/>
              <w:jc w:val="both"/>
            </w:pPr>
            <w:r w:rsidRPr="00824519">
              <w:t>OXYOLÓGIA A+B IX.: Transglotticus és infraglotticus légútbiztosítási módszerek és eszközök: sebészeti conicotomia, Quick-Trach, TLJV. (2 óra)</w:t>
            </w:r>
          </w:p>
        </w:tc>
      </w:tr>
      <w:tr w:rsidRPr="000043B5" w:rsidR="00C46CB6" w:rsidTr="476229D4" w14:paraId="4C875AE4" w14:textId="77777777">
        <w:trPr>
          <w:trHeight w:val="283"/>
          <w:jc w:val="center"/>
        </w:trPr>
        <w:tc>
          <w:tcPr>
            <w:tcW w:w="989"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EE034B" w:rsidR="00C46CB6" w:rsidP="00C46CB6" w:rsidRDefault="00C46CB6" w14:paraId="38E41F7A" w14:textId="4E94B2E8">
            <w:pPr>
              <w:spacing w:after="0" w:line="240" w:lineRule="auto"/>
              <w:jc w:val="center"/>
            </w:pPr>
            <w:r w:rsidRPr="00824519">
              <w:t>18.</w:t>
            </w:r>
          </w:p>
        </w:tc>
        <w:tc>
          <w:tcPr>
            <w:tcW w:w="7885" w:type="dxa"/>
            <w:gridSpan w:val="2"/>
            <w:tcBorders>
              <w:top w:val="dotted" w:color="auto" w:sz="4" w:space="0"/>
              <w:left w:val="single" w:color="auto" w:sz="4" w:space="0"/>
              <w:bottom w:val="single" w:color="auto" w:sz="4" w:space="0"/>
              <w:right w:val="single" w:color="auto" w:sz="4" w:space="0"/>
            </w:tcBorders>
            <w:shd w:val="clear" w:color="auto" w:fill="auto"/>
            <w:tcMar/>
          </w:tcPr>
          <w:p w:rsidRPr="00EE034B" w:rsidR="00C46CB6" w:rsidP="00A63834" w:rsidRDefault="00C46CB6" w14:paraId="22986C81" w14:textId="39A0487F">
            <w:pPr>
              <w:spacing w:after="0" w:line="240" w:lineRule="auto"/>
              <w:jc w:val="both"/>
            </w:pPr>
            <w:r w:rsidRPr="00824519">
              <w:t>OXYOLÓGIA A+B X.: A légzési elégtelenség kórélettana, a légzőrendszer (B) sürgősségi fizikális vizsgálata. (2 óra)</w:t>
            </w:r>
          </w:p>
        </w:tc>
      </w:tr>
      <w:tr w:rsidRPr="000043B5" w:rsidR="00C46CB6" w:rsidTr="476229D4" w14:paraId="7BAAC65E" w14:textId="77777777">
        <w:trPr>
          <w:trHeight w:val="283"/>
          <w:jc w:val="center"/>
        </w:trPr>
        <w:tc>
          <w:tcPr>
            <w:tcW w:w="989"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EE034B" w:rsidR="00C46CB6" w:rsidP="00C46CB6" w:rsidRDefault="00C46CB6" w14:paraId="5335875C" w14:textId="5509FE49">
            <w:pPr>
              <w:spacing w:after="0" w:line="240" w:lineRule="auto"/>
              <w:jc w:val="center"/>
            </w:pPr>
            <w:r w:rsidRPr="00824519">
              <w:t>19.</w:t>
            </w:r>
          </w:p>
        </w:tc>
        <w:tc>
          <w:tcPr>
            <w:tcW w:w="7885" w:type="dxa"/>
            <w:gridSpan w:val="2"/>
            <w:tcBorders>
              <w:top w:val="dotted" w:color="auto" w:sz="4" w:space="0"/>
              <w:left w:val="single" w:color="auto" w:sz="4" w:space="0"/>
              <w:bottom w:val="single" w:color="auto" w:sz="4" w:space="0"/>
              <w:right w:val="single" w:color="auto" w:sz="4" w:space="0"/>
            </w:tcBorders>
            <w:shd w:val="clear" w:color="auto" w:fill="auto"/>
            <w:tcMar/>
          </w:tcPr>
          <w:p w:rsidRPr="00EE034B" w:rsidR="00C46CB6" w:rsidP="00A63834" w:rsidRDefault="00C46CB6" w14:paraId="4796B501" w14:textId="7B6D21AA">
            <w:pPr>
              <w:spacing w:after="0" w:line="240" w:lineRule="auto"/>
              <w:jc w:val="both"/>
            </w:pPr>
            <w:r w:rsidRPr="00824519">
              <w:t>OXYOLÓGIA A+B XI.: A mesterséges lélegeztetés indikációi, módjai. Lélegeztetési paraméterek. (2 óra)</w:t>
            </w:r>
          </w:p>
        </w:tc>
      </w:tr>
      <w:tr w:rsidRPr="000043B5" w:rsidR="00C46CB6" w:rsidTr="476229D4" w14:paraId="2E7EE835" w14:textId="77777777">
        <w:trPr>
          <w:trHeight w:val="283"/>
          <w:jc w:val="center"/>
        </w:trPr>
        <w:tc>
          <w:tcPr>
            <w:tcW w:w="989"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EE034B" w:rsidR="00C46CB6" w:rsidP="00C46CB6" w:rsidRDefault="00C46CB6" w14:paraId="3DAE4165" w14:textId="24B16D39">
            <w:pPr>
              <w:spacing w:after="0" w:line="240" w:lineRule="auto"/>
              <w:jc w:val="center"/>
            </w:pPr>
            <w:r w:rsidRPr="00824519">
              <w:t>20.</w:t>
            </w:r>
          </w:p>
        </w:tc>
        <w:tc>
          <w:tcPr>
            <w:tcW w:w="7885" w:type="dxa"/>
            <w:gridSpan w:val="2"/>
            <w:tcBorders>
              <w:top w:val="dotted" w:color="auto" w:sz="4" w:space="0"/>
              <w:left w:val="single" w:color="auto" w:sz="4" w:space="0"/>
              <w:bottom w:val="single" w:color="auto" w:sz="4" w:space="0"/>
              <w:right w:val="single" w:color="auto" w:sz="4" w:space="0"/>
            </w:tcBorders>
            <w:shd w:val="clear" w:color="auto" w:fill="auto"/>
            <w:tcMar/>
          </w:tcPr>
          <w:p w:rsidRPr="00EE034B" w:rsidR="00C46CB6" w:rsidP="00A63834" w:rsidRDefault="00C46CB6" w14:paraId="610F9974" w14:textId="45B7DDED">
            <w:pPr>
              <w:spacing w:after="0" w:line="240" w:lineRule="auto"/>
              <w:jc w:val="both"/>
            </w:pPr>
            <w:r w:rsidRPr="00824519">
              <w:t>OXYOLÓGIA A+B XII.: Respirációs terápia, lélegeztetési módok, a respirátor beállítása. (2 óra)</w:t>
            </w:r>
          </w:p>
        </w:tc>
      </w:tr>
      <w:tr w:rsidRPr="000043B5" w:rsidR="00C46CB6" w:rsidTr="476229D4" w14:paraId="143E14F0" w14:textId="77777777">
        <w:trPr>
          <w:trHeight w:val="283"/>
          <w:jc w:val="center"/>
        </w:trPr>
        <w:tc>
          <w:tcPr>
            <w:tcW w:w="989"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EE034B" w:rsidR="00C46CB6" w:rsidP="00C46CB6" w:rsidRDefault="00C46CB6" w14:paraId="23290254" w14:textId="39C9AC1C">
            <w:pPr>
              <w:spacing w:after="0" w:line="240" w:lineRule="auto"/>
              <w:jc w:val="center"/>
            </w:pPr>
            <w:r w:rsidRPr="00824519">
              <w:t>21.</w:t>
            </w:r>
          </w:p>
        </w:tc>
        <w:tc>
          <w:tcPr>
            <w:tcW w:w="7885" w:type="dxa"/>
            <w:gridSpan w:val="2"/>
            <w:tcBorders>
              <w:top w:val="dotted" w:color="auto" w:sz="4" w:space="0"/>
              <w:left w:val="single" w:color="auto" w:sz="4" w:space="0"/>
              <w:bottom w:val="single" w:color="auto" w:sz="4" w:space="0"/>
              <w:right w:val="single" w:color="auto" w:sz="4" w:space="0"/>
            </w:tcBorders>
            <w:shd w:val="clear" w:color="auto" w:fill="auto"/>
            <w:tcMar/>
          </w:tcPr>
          <w:p w:rsidRPr="00EE034B" w:rsidR="00C46CB6" w:rsidP="00A63834" w:rsidRDefault="00C46CB6" w14:paraId="774B0650" w14:textId="08DC6DF1">
            <w:pPr>
              <w:spacing w:after="0" w:line="240" w:lineRule="auto"/>
              <w:jc w:val="both"/>
            </w:pPr>
            <w:r w:rsidRPr="00824519">
              <w:t>OXYOLÓGIA A+B XIII.: A lélegeztetett beteg monitorozása. A sürgősségi respirátorok speciális lélegeztetési módjai. (2 óra)</w:t>
            </w:r>
          </w:p>
        </w:tc>
      </w:tr>
      <w:tr w:rsidRPr="00C52A8F" w:rsidR="00C52A8F" w:rsidTr="476229D4" w14:paraId="0C6C13D8" w14:textId="77777777">
        <w:trPr>
          <w:trHeight w:val="530"/>
          <w:jc w:val="center"/>
        </w:trPr>
        <w:tc>
          <w:tcPr>
            <w:tcW w:w="989"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Pr="00C52A8F" w:rsidR="00C52A8F" w:rsidP="0010522E" w:rsidRDefault="00C52A8F" w14:paraId="0259C3A2" w14:textId="0534FB97">
            <w:pPr>
              <w:spacing w:after="0" w:line="240" w:lineRule="auto"/>
              <w:jc w:val="center"/>
              <w:rPr>
                <w:b/>
                <w:bCs/>
              </w:rPr>
            </w:pPr>
            <w:r w:rsidRPr="00C52A8F">
              <w:rPr>
                <w:b/>
                <w:bCs/>
              </w:rPr>
              <w:t>Alkalom</w:t>
            </w:r>
          </w:p>
        </w:tc>
        <w:tc>
          <w:tcPr>
            <w:tcW w:w="7885" w:type="dxa"/>
            <w:gridSpan w:val="2"/>
            <w:tcBorders>
              <w:top w:val="dotted" w:color="auto" w:sz="4" w:space="0"/>
              <w:left w:val="single" w:color="auto" w:sz="4" w:space="0"/>
              <w:bottom w:val="single" w:color="auto" w:sz="4" w:space="0"/>
              <w:right w:val="single" w:color="auto" w:sz="4" w:space="0"/>
            </w:tcBorders>
            <w:shd w:val="clear" w:color="auto" w:fill="auto"/>
            <w:tcMar/>
            <w:vAlign w:val="center"/>
          </w:tcPr>
          <w:p w:rsidRPr="00C52A8F" w:rsidR="00C52A8F" w:rsidP="0010522E" w:rsidRDefault="00C52A8F" w14:paraId="48B2BF92" w14:textId="3F447981">
            <w:pPr>
              <w:spacing w:after="0" w:line="240" w:lineRule="auto"/>
              <w:jc w:val="center"/>
              <w:rPr>
                <w:b/>
                <w:bCs/>
              </w:rPr>
            </w:pPr>
            <w:r w:rsidRPr="00C52A8F">
              <w:rPr>
                <w:b/>
                <w:bCs/>
              </w:rPr>
              <w:t>Gyakorlati ismeretkör leírása</w:t>
            </w:r>
          </w:p>
        </w:tc>
      </w:tr>
      <w:tr w:rsidRPr="000043B5" w:rsidR="002D3E0C" w:rsidTr="476229D4" w14:paraId="27518239" w14:textId="77777777">
        <w:trPr>
          <w:trHeight w:val="283"/>
          <w:jc w:val="center"/>
        </w:trPr>
        <w:tc>
          <w:tcPr>
            <w:tcW w:w="989"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824519" w:rsidR="002D3E0C" w:rsidP="002D3E0C" w:rsidRDefault="002D3E0C" w14:paraId="0672EFE3" w14:textId="4980263F">
            <w:pPr>
              <w:spacing w:after="0" w:line="240" w:lineRule="auto"/>
              <w:jc w:val="center"/>
            </w:pPr>
            <w:r>
              <w:t>1.</w:t>
            </w:r>
          </w:p>
        </w:tc>
        <w:tc>
          <w:tcPr>
            <w:tcW w:w="7885" w:type="dxa"/>
            <w:gridSpan w:val="2"/>
            <w:tcBorders>
              <w:top w:val="dotted" w:color="auto" w:sz="4" w:space="0"/>
              <w:left w:val="single" w:color="auto" w:sz="4" w:space="0"/>
              <w:bottom w:val="single" w:color="auto" w:sz="4" w:space="0"/>
              <w:right w:val="single" w:color="auto" w:sz="4" w:space="0"/>
            </w:tcBorders>
            <w:shd w:val="clear" w:color="auto" w:fill="auto"/>
            <w:tcMar/>
          </w:tcPr>
          <w:p w:rsidRPr="00824519" w:rsidR="002D3E0C" w:rsidP="00A63834" w:rsidRDefault="00802634" w14:paraId="026993A3" w14:textId="6B32D9A8">
            <w:pPr>
              <w:spacing w:after="0" w:line="240" w:lineRule="auto"/>
              <w:jc w:val="both"/>
            </w:pPr>
            <w:r w:rsidRPr="00372D02">
              <w:t>Obstruktív légúti betegségek I.: asthma bronchiale, súlyos asthmas roham diagnosztikája és terápiája.</w:t>
            </w:r>
          </w:p>
        </w:tc>
      </w:tr>
      <w:tr w:rsidRPr="000043B5" w:rsidR="002D3E0C" w:rsidTr="476229D4" w14:paraId="3B0B48BD" w14:textId="77777777">
        <w:trPr>
          <w:trHeight w:val="283"/>
          <w:jc w:val="center"/>
        </w:trPr>
        <w:tc>
          <w:tcPr>
            <w:tcW w:w="989"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824519" w:rsidR="002D3E0C" w:rsidP="002D3E0C" w:rsidRDefault="002D3E0C" w14:paraId="0D0EBD4F" w14:textId="7016E4A4">
            <w:pPr>
              <w:spacing w:after="0" w:line="240" w:lineRule="auto"/>
              <w:jc w:val="center"/>
            </w:pPr>
            <w:r>
              <w:t>2.</w:t>
            </w:r>
          </w:p>
        </w:tc>
        <w:tc>
          <w:tcPr>
            <w:tcW w:w="7885" w:type="dxa"/>
            <w:gridSpan w:val="2"/>
            <w:tcBorders>
              <w:top w:val="dotted" w:color="auto" w:sz="4" w:space="0"/>
              <w:left w:val="single" w:color="auto" w:sz="4" w:space="0"/>
              <w:bottom w:val="single" w:color="auto" w:sz="4" w:space="0"/>
              <w:right w:val="single" w:color="auto" w:sz="4" w:space="0"/>
            </w:tcBorders>
            <w:shd w:val="clear" w:color="auto" w:fill="auto"/>
            <w:tcMar/>
          </w:tcPr>
          <w:p w:rsidRPr="00824519" w:rsidR="002D3E0C" w:rsidP="00A63834" w:rsidRDefault="00802634" w14:paraId="098128EA" w14:textId="70C1507E">
            <w:pPr>
              <w:spacing w:after="0" w:line="240" w:lineRule="auto"/>
              <w:jc w:val="both"/>
            </w:pPr>
            <w:r w:rsidRPr="00372D02">
              <w:t>Obstruktív légúti betegségek II.: Krónikus obstruktív tüdőbetegség, asthma bronchiale és COPD okozta sürgősségi helyzetek.</w:t>
            </w:r>
          </w:p>
        </w:tc>
      </w:tr>
      <w:tr w:rsidRPr="000043B5" w:rsidR="002D3E0C" w:rsidTr="476229D4" w14:paraId="4F073A3E" w14:textId="77777777">
        <w:trPr>
          <w:trHeight w:val="283"/>
          <w:jc w:val="center"/>
        </w:trPr>
        <w:tc>
          <w:tcPr>
            <w:tcW w:w="989"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824519" w:rsidR="002D3E0C" w:rsidP="002D3E0C" w:rsidRDefault="002D3E0C" w14:paraId="0BD1D2FA" w14:textId="2324476D">
            <w:pPr>
              <w:spacing w:after="0" w:line="240" w:lineRule="auto"/>
              <w:jc w:val="center"/>
            </w:pPr>
            <w:r>
              <w:t>3.</w:t>
            </w:r>
          </w:p>
        </w:tc>
        <w:tc>
          <w:tcPr>
            <w:tcW w:w="7885" w:type="dxa"/>
            <w:gridSpan w:val="2"/>
            <w:tcBorders>
              <w:top w:val="dotted" w:color="auto" w:sz="4" w:space="0"/>
              <w:left w:val="single" w:color="auto" w:sz="4" w:space="0"/>
              <w:bottom w:val="single" w:color="auto" w:sz="4" w:space="0"/>
              <w:right w:val="single" w:color="auto" w:sz="4" w:space="0"/>
            </w:tcBorders>
            <w:shd w:val="clear" w:color="auto" w:fill="auto"/>
            <w:tcMar/>
          </w:tcPr>
          <w:p w:rsidRPr="00824519" w:rsidR="002D3E0C" w:rsidP="00A63834" w:rsidRDefault="00802634" w14:paraId="0B978648" w14:textId="7CA0FC9E">
            <w:pPr>
              <w:spacing w:after="0" w:line="240" w:lineRule="auto"/>
              <w:jc w:val="both"/>
            </w:pPr>
            <w:r w:rsidRPr="00372D02">
              <w:t>Köhögés, köpetürítés elkülönítő kórisméje, a sürgősségi ellátó teendői.</w:t>
            </w:r>
          </w:p>
        </w:tc>
      </w:tr>
      <w:tr w:rsidRPr="000043B5" w:rsidR="002D3E0C" w:rsidTr="476229D4" w14:paraId="010B2009" w14:textId="77777777">
        <w:trPr>
          <w:trHeight w:val="283"/>
          <w:jc w:val="center"/>
        </w:trPr>
        <w:tc>
          <w:tcPr>
            <w:tcW w:w="989"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002D3E0C" w:rsidP="002D3E0C" w:rsidRDefault="002D3E0C" w14:paraId="7BA1BFA3" w14:textId="6DD80803">
            <w:pPr>
              <w:spacing w:after="0" w:line="240" w:lineRule="auto"/>
              <w:jc w:val="center"/>
            </w:pPr>
            <w:r>
              <w:t>4.</w:t>
            </w:r>
          </w:p>
        </w:tc>
        <w:tc>
          <w:tcPr>
            <w:tcW w:w="7885" w:type="dxa"/>
            <w:gridSpan w:val="2"/>
            <w:tcBorders>
              <w:top w:val="dotted" w:color="auto" w:sz="4" w:space="0"/>
              <w:left w:val="single" w:color="auto" w:sz="4" w:space="0"/>
              <w:bottom w:val="single" w:color="auto" w:sz="4" w:space="0"/>
              <w:right w:val="single" w:color="auto" w:sz="4" w:space="0"/>
            </w:tcBorders>
            <w:shd w:val="clear" w:color="auto" w:fill="auto"/>
            <w:tcMar/>
          </w:tcPr>
          <w:p w:rsidRPr="00824519" w:rsidR="002D3E0C" w:rsidP="00A63834" w:rsidRDefault="002D3E0C" w14:paraId="0741C40F" w14:textId="470839E6">
            <w:pPr>
              <w:spacing w:after="0" w:line="240" w:lineRule="auto"/>
              <w:jc w:val="both"/>
            </w:pPr>
            <w:r w:rsidRPr="00372D02">
              <w:t xml:space="preserve">Légzési elégtelenség és ellátása. </w:t>
            </w:r>
          </w:p>
        </w:tc>
      </w:tr>
      <w:tr w:rsidRPr="000043B5" w:rsidR="002D3E0C" w:rsidTr="476229D4" w14:paraId="72C5FCA6" w14:textId="77777777">
        <w:trPr>
          <w:trHeight w:val="283"/>
          <w:jc w:val="center"/>
        </w:trPr>
        <w:tc>
          <w:tcPr>
            <w:tcW w:w="989"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824519" w:rsidR="002D3E0C" w:rsidP="002D3E0C" w:rsidRDefault="002D3E0C" w14:paraId="23A5AB37" w14:textId="24CFC3E7">
            <w:pPr>
              <w:spacing w:after="0" w:line="240" w:lineRule="auto"/>
              <w:jc w:val="center"/>
            </w:pPr>
            <w:r>
              <w:t>5.</w:t>
            </w:r>
          </w:p>
        </w:tc>
        <w:tc>
          <w:tcPr>
            <w:tcW w:w="7885" w:type="dxa"/>
            <w:gridSpan w:val="2"/>
            <w:tcBorders>
              <w:top w:val="dotted" w:color="auto" w:sz="4" w:space="0"/>
              <w:left w:val="single" w:color="auto" w:sz="4" w:space="0"/>
              <w:bottom w:val="single" w:color="auto" w:sz="4" w:space="0"/>
              <w:right w:val="single" w:color="auto" w:sz="4" w:space="0"/>
            </w:tcBorders>
            <w:shd w:val="clear" w:color="auto" w:fill="auto"/>
            <w:tcMar/>
          </w:tcPr>
          <w:p w:rsidRPr="00824519" w:rsidR="002D3E0C" w:rsidP="00A63834" w:rsidRDefault="002D3E0C" w14:paraId="25A62AD5" w14:textId="026D0A05">
            <w:pPr>
              <w:spacing w:after="0" w:line="240" w:lineRule="auto"/>
              <w:jc w:val="both"/>
            </w:pPr>
            <w:r w:rsidRPr="00372D02">
              <w:t xml:space="preserve">Mellkasi fájdalmat okozó pulmonológiai kórfolyamatok, elkülönítő kórisme, </w:t>
            </w:r>
          </w:p>
        </w:tc>
      </w:tr>
      <w:tr w:rsidRPr="000043B5" w:rsidR="002D3E0C" w:rsidTr="476229D4" w14:paraId="47CE2D7C" w14:textId="77777777">
        <w:trPr>
          <w:trHeight w:val="283"/>
          <w:jc w:val="center"/>
        </w:trPr>
        <w:tc>
          <w:tcPr>
            <w:tcW w:w="989"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824519" w:rsidR="002D3E0C" w:rsidP="002D3E0C" w:rsidRDefault="002D3E0C" w14:paraId="7873F0FD" w14:textId="4D79E209">
            <w:pPr>
              <w:spacing w:after="0" w:line="240" w:lineRule="auto"/>
              <w:jc w:val="center"/>
            </w:pPr>
            <w:r>
              <w:t>6.</w:t>
            </w:r>
          </w:p>
        </w:tc>
        <w:tc>
          <w:tcPr>
            <w:tcW w:w="7885" w:type="dxa"/>
            <w:gridSpan w:val="2"/>
            <w:tcBorders>
              <w:top w:val="dotted" w:color="auto" w:sz="4" w:space="0"/>
              <w:left w:val="single" w:color="auto" w:sz="4" w:space="0"/>
              <w:bottom w:val="single" w:color="auto" w:sz="4" w:space="0"/>
              <w:right w:val="single" w:color="auto" w:sz="4" w:space="0"/>
            </w:tcBorders>
            <w:shd w:val="clear" w:color="auto" w:fill="auto"/>
            <w:tcMar/>
          </w:tcPr>
          <w:p w:rsidRPr="00824519" w:rsidR="002D3E0C" w:rsidP="00A63834" w:rsidRDefault="00AD6024" w14:paraId="12F122BB" w14:textId="58C9D237">
            <w:pPr>
              <w:spacing w:after="0" w:line="240" w:lineRule="auto"/>
              <w:jc w:val="both"/>
            </w:pPr>
            <w:r w:rsidRPr="00372D02">
              <w:t>Fül-Orr-Gégészeti akut kórképek kezelése</w:t>
            </w:r>
            <w:r>
              <w:t>.</w:t>
            </w:r>
          </w:p>
        </w:tc>
      </w:tr>
      <w:tr w:rsidRPr="000043B5" w:rsidR="00C52A8F" w:rsidTr="476229D4" w14:paraId="20BCBD0C" w14:textId="77777777">
        <w:trPr>
          <w:trHeight w:val="283"/>
          <w:jc w:val="center"/>
        </w:trPr>
        <w:tc>
          <w:tcPr>
            <w:tcW w:w="989"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824519" w:rsidR="00C52A8F" w:rsidP="00C46CB6" w:rsidRDefault="0010522E" w14:paraId="2ECAE5DB" w14:textId="7C743904">
            <w:pPr>
              <w:spacing w:after="0" w:line="240" w:lineRule="auto"/>
              <w:jc w:val="center"/>
            </w:pPr>
            <w:r>
              <w:t>7.</w:t>
            </w:r>
          </w:p>
        </w:tc>
        <w:tc>
          <w:tcPr>
            <w:tcW w:w="7885" w:type="dxa"/>
            <w:gridSpan w:val="2"/>
            <w:tcBorders>
              <w:top w:val="dotted" w:color="auto" w:sz="4" w:space="0"/>
              <w:left w:val="single" w:color="auto" w:sz="4" w:space="0"/>
              <w:bottom w:val="single" w:color="auto" w:sz="4" w:space="0"/>
              <w:right w:val="single" w:color="auto" w:sz="4" w:space="0"/>
            </w:tcBorders>
            <w:shd w:val="clear" w:color="auto" w:fill="auto"/>
            <w:tcMar/>
          </w:tcPr>
          <w:p w:rsidRPr="00824519" w:rsidR="00C52A8F" w:rsidP="00A63834" w:rsidRDefault="00802634" w14:paraId="38E0BCEE" w14:textId="7A1E0BAC">
            <w:pPr>
              <w:spacing w:after="0" w:line="240" w:lineRule="auto"/>
              <w:jc w:val="both"/>
            </w:pPr>
            <w:r w:rsidRPr="00372D02">
              <w:t>Sürgősségi mellkassebészeti beavatkozások indikációs területei</w:t>
            </w:r>
            <w:r w:rsidR="00AD6024">
              <w:t>.</w:t>
            </w:r>
          </w:p>
        </w:tc>
      </w:tr>
      <w:tr w:rsidRPr="000043B5" w:rsidR="00C52A8F" w:rsidTr="476229D4" w14:paraId="234E4CE0" w14:textId="77777777">
        <w:trPr>
          <w:trHeight w:val="283"/>
          <w:jc w:val="center"/>
        </w:trPr>
        <w:tc>
          <w:tcPr>
            <w:tcW w:w="989"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824519" w:rsidR="00C52A8F" w:rsidP="00C46CB6" w:rsidRDefault="0010522E" w14:paraId="700C2C2C" w14:textId="01786578">
            <w:pPr>
              <w:spacing w:after="0" w:line="240" w:lineRule="auto"/>
              <w:jc w:val="center"/>
            </w:pPr>
            <w:r>
              <w:t>8.</w:t>
            </w:r>
          </w:p>
        </w:tc>
        <w:tc>
          <w:tcPr>
            <w:tcW w:w="7885" w:type="dxa"/>
            <w:gridSpan w:val="2"/>
            <w:tcBorders>
              <w:top w:val="dotted" w:color="auto" w:sz="4" w:space="0"/>
              <w:left w:val="single" w:color="auto" w:sz="4" w:space="0"/>
              <w:bottom w:val="single" w:color="auto" w:sz="4" w:space="0"/>
              <w:right w:val="single" w:color="auto" w:sz="4" w:space="0"/>
            </w:tcBorders>
            <w:shd w:val="clear" w:color="auto" w:fill="auto"/>
            <w:tcMar/>
          </w:tcPr>
          <w:p w:rsidRPr="00824519" w:rsidR="00C52A8F" w:rsidP="00A63834" w:rsidRDefault="00AD6024" w14:paraId="1E0790E4" w14:textId="49F7708F">
            <w:pPr>
              <w:spacing w:after="0" w:line="240" w:lineRule="auto"/>
              <w:jc w:val="both"/>
            </w:pPr>
            <w:r w:rsidRPr="00372D02">
              <w:t>A légút átjárhatóságát biztosító beavatkozások és eszközök. A légút fenntartására képes beavatkozások és eszközök.</w:t>
            </w:r>
          </w:p>
        </w:tc>
      </w:tr>
      <w:tr w:rsidRPr="000043B5" w:rsidR="00C52A8F" w:rsidTr="476229D4" w14:paraId="26FCB111" w14:textId="77777777">
        <w:trPr>
          <w:trHeight w:val="283"/>
          <w:jc w:val="center"/>
        </w:trPr>
        <w:tc>
          <w:tcPr>
            <w:tcW w:w="989"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824519" w:rsidR="00C52A8F" w:rsidP="00C46CB6" w:rsidRDefault="0010522E" w14:paraId="786E8F3F" w14:textId="65CC20CB">
            <w:pPr>
              <w:spacing w:after="0" w:line="240" w:lineRule="auto"/>
              <w:jc w:val="center"/>
            </w:pPr>
            <w:r>
              <w:t>9.</w:t>
            </w:r>
          </w:p>
        </w:tc>
        <w:tc>
          <w:tcPr>
            <w:tcW w:w="7885" w:type="dxa"/>
            <w:gridSpan w:val="2"/>
            <w:tcBorders>
              <w:top w:val="dotted" w:color="auto" w:sz="4" w:space="0"/>
              <w:left w:val="single" w:color="auto" w:sz="4" w:space="0"/>
              <w:bottom w:val="single" w:color="auto" w:sz="4" w:space="0"/>
              <w:right w:val="single" w:color="auto" w:sz="4" w:space="0"/>
            </w:tcBorders>
            <w:shd w:val="clear" w:color="auto" w:fill="auto"/>
            <w:tcMar/>
          </w:tcPr>
          <w:p w:rsidRPr="00824519" w:rsidR="00C52A8F" w:rsidP="00A63834" w:rsidRDefault="00AD6024" w14:paraId="447A6836" w14:textId="367DC8F8">
            <w:pPr>
              <w:spacing w:after="0" w:line="240" w:lineRule="auto"/>
              <w:jc w:val="both"/>
            </w:pPr>
            <w:r w:rsidRPr="00372D02">
              <w:t>A légút biztosítási nehezítettségének megítélési lehetőségei.</w:t>
            </w:r>
          </w:p>
        </w:tc>
      </w:tr>
      <w:tr w:rsidRPr="000043B5" w:rsidR="00AD6024" w:rsidTr="476229D4" w14:paraId="2FC32FE9" w14:textId="77777777">
        <w:trPr>
          <w:trHeight w:val="283"/>
          <w:jc w:val="center"/>
        </w:trPr>
        <w:tc>
          <w:tcPr>
            <w:tcW w:w="989"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824519" w:rsidR="00AD6024" w:rsidP="00AD6024" w:rsidRDefault="00AD6024" w14:paraId="13BA628C" w14:textId="07A084B4">
            <w:pPr>
              <w:spacing w:after="0" w:line="240" w:lineRule="auto"/>
              <w:jc w:val="center"/>
            </w:pPr>
            <w:r>
              <w:t>10.</w:t>
            </w:r>
          </w:p>
        </w:tc>
        <w:tc>
          <w:tcPr>
            <w:tcW w:w="7885" w:type="dxa"/>
            <w:gridSpan w:val="2"/>
            <w:tcBorders>
              <w:top w:val="dotted" w:color="auto" w:sz="4" w:space="0"/>
              <w:left w:val="single" w:color="auto" w:sz="4" w:space="0"/>
              <w:bottom w:val="single" w:color="auto" w:sz="4" w:space="0"/>
              <w:right w:val="single" w:color="auto" w:sz="4" w:space="0"/>
            </w:tcBorders>
            <w:shd w:val="clear" w:color="auto" w:fill="auto"/>
            <w:tcMar/>
          </w:tcPr>
          <w:p w:rsidRPr="00824519" w:rsidR="00AD6024" w:rsidP="00A63834" w:rsidRDefault="00AD6024" w14:paraId="70636268" w14:textId="35B17358">
            <w:pPr>
              <w:spacing w:after="0" w:line="240" w:lineRule="auto"/>
              <w:jc w:val="both"/>
            </w:pPr>
            <w:r w:rsidRPr="00372D02">
              <w:t xml:space="preserve">A nehéz légút definíciói, szintjei. </w:t>
            </w:r>
          </w:p>
        </w:tc>
      </w:tr>
      <w:tr w:rsidRPr="000043B5" w:rsidR="00AD6024" w:rsidTr="476229D4" w14:paraId="059E8D04" w14:textId="77777777">
        <w:trPr>
          <w:trHeight w:val="283"/>
          <w:jc w:val="center"/>
        </w:trPr>
        <w:tc>
          <w:tcPr>
            <w:tcW w:w="989"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824519" w:rsidR="00AD6024" w:rsidP="00AD6024" w:rsidRDefault="00AD6024" w14:paraId="7F3636F4" w14:textId="444CFAF1">
            <w:pPr>
              <w:spacing w:after="0" w:line="240" w:lineRule="auto"/>
              <w:jc w:val="center"/>
            </w:pPr>
            <w:r>
              <w:t>11.</w:t>
            </w:r>
          </w:p>
        </w:tc>
        <w:tc>
          <w:tcPr>
            <w:tcW w:w="7885" w:type="dxa"/>
            <w:gridSpan w:val="2"/>
            <w:tcBorders>
              <w:top w:val="dotted" w:color="auto" w:sz="4" w:space="0"/>
              <w:left w:val="single" w:color="auto" w:sz="4" w:space="0"/>
              <w:bottom w:val="single" w:color="auto" w:sz="4" w:space="0"/>
              <w:right w:val="single" w:color="auto" w:sz="4" w:space="0"/>
            </w:tcBorders>
            <w:shd w:val="clear" w:color="auto" w:fill="auto"/>
            <w:tcMar/>
          </w:tcPr>
          <w:p w:rsidRPr="00824519" w:rsidR="00AD6024" w:rsidP="00A63834" w:rsidRDefault="00AD6024" w14:paraId="5DE7185D" w14:textId="63EF80B9">
            <w:pPr>
              <w:spacing w:after="0" w:line="240" w:lineRule="auto"/>
              <w:jc w:val="both"/>
            </w:pPr>
            <w:r w:rsidRPr="00372D02">
              <w:t>Légúti idegentest és ellátásnak lehetőségei klinikai környezetben.</w:t>
            </w:r>
          </w:p>
        </w:tc>
      </w:tr>
      <w:tr w:rsidRPr="000043B5" w:rsidR="00AD6024" w:rsidTr="476229D4" w14:paraId="09B5173B" w14:textId="77777777">
        <w:trPr>
          <w:trHeight w:val="283"/>
          <w:jc w:val="center"/>
        </w:trPr>
        <w:tc>
          <w:tcPr>
            <w:tcW w:w="989"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00AD6024" w:rsidP="00AD6024" w:rsidRDefault="00AD6024" w14:paraId="4D413E05" w14:textId="0D90600F">
            <w:pPr>
              <w:spacing w:after="0" w:line="240" w:lineRule="auto"/>
              <w:jc w:val="center"/>
            </w:pPr>
            <w:r>
              <w:t>12.</w:t>
            </w:r>
          </w:p>
        </w:tc>
        <w:tc>
          <w:tcPr>
            <w:tcW w:w="7885" w:type="dxa"/>
            <w:gridSpan w:val="2"/>
            <w:tcBorders>
              <w:top w:val="dotted" w:color="auto" w:sz="4" w:space="0"/>
              <w:left w:val="single" w:color="auto" w:sz="4" w:space="0"/>
              <w:bottom w:val="single" w:color="auto" w:sz="4" w:space="0"/>
              <w:right w:val="single" w:color="auto" w:sz="4" w:space="0"/>
            </w:tcBorders>
            <w:shd w:val="clear" w:color="auto" w:fill="auto"/>
            <w:tcMar/>
          </w:tcPr>
          <w:p w:rsidRPr="00372D02" w:rsidR="00AD6024" w:rsidP="00A63834" w:rsidRDefault="00AD6024" w14:paraId="5AF525B9" w14:textId="0BD2840F">
            <w:pPr>
              <w:spacing w:after="0" w:line="240" w:lineRule="auto"/>
              <w:jc w:val="both"/>
            </w:pPr>
            <w:r w:rsidRPr="00372D02">
              <w:t>A lélegeztetett beteg monitorozása.</w:t>
            </w:r>
          </w:p>
        </w:tc>
      </w:tr>
      <w:tr w:rsidRPr="000043B5" w:rsidR="00AD6024" w:rsidTr="476229D4" w14:paraId="0421123D" w14:textId="77777777">
        <w:trPr>
          <w:trHeight w:val="283"/>
          <w:jc w:val="center"/>
        </w:trPr>
        <w:tc>
          <w:tcPr>
            <w:tcW w:w="989"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00AD6024" w:rsidP="00AD6024" w:rsidRDefault="00AD6024" w14:paraId="6CC832E5" w14:textId="09F0CAE4">
            <w:pPr>
              <w:spacing w:after="0" w:line="240" w:lineRule="auto"/>
              <w:jc w:val="center"/>
            </w:pPr>
            <w:r>
              <w:t>13.</w:t>
            </w:r>
          </w:p>
        </w:tc>
        <w:tc>
          <w:tcPr>
            <w:tcW w:w="7885" w:type="dxa"/>
            <w:gridSpan w:val="2"/>
            <w:tcBorders>
              <w:top w:val="dotted" w:color="auto" w:sz="4" w:space="0"/>
              <w:left w:val="single" w:color="auto" w:sz="4" w:space="0"/>
              <w:bottom w:val="single" w:color="auto" w:sz="4" w:space="0"/>
              <w:right w:val="single" w:color="auto" w:sz="4" w:space="0"/>
            </w:tcBorders>
            <w:shd w:val="clear" w:color="auto" w:fill="auto"/>
            <w:tcMar/>
          </w:tcPr>
          <w:p w:rsidRPr="00824519" w:rsidR="00AD6024" w:rsidP="00A63834" w:rsidRDefault="00AD6024" w14:paraId="575572C7" w14:textId="7E9374BB">
            <w:pPr>
              <w:spacing w:after="0" w:line="240" w:lineRule="auto"/>
              <w:jc w:val="both"/>
            </w:pPr>
            <w:r w:rsidRPr="00372D02">
              <w:t>A sürgősségi respirátorok speciális lélegeztetési módjai.</w:t>
            </w:r>
          </w:p>
        </w:tc>
      </w:tr>
      <w:tr w:rsidRPr="000043B5" w:rsidR="00AD6024" w:rsidTr="476229D4" w14:paraId="5270883C" w14:textId="77777777">
        <w:trPr>
          <w:trHeight w:val="300"/>
          <w:jc w:val="center"/>
        </w:trPr>
        <w:tc>
          <w:tcPr>
            <w:tcW w:w="8874" w:type="dxa"/>
            <w:gridSpan w:val="3"/>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0043B5" w:rsidR="00AD6024" w:rsidP="00AD6024" w:rsidRDefault="00AD6024" w14:paraId="73E92655" w14:textId="207524AA">
            <w:pPr>
              <w:suppressAutoHyphens/>
              <w:spacing w:after="0" w:line="240" w:lineRule="auto"/>
              <w:rPr>
                <w:rFonts w:ascii="Playfair Display" w:hAnsi="Playfair Display" w:eastAsia="Times New Roman" w:cs="Times New Roman"/>
                <w:b/>
                <w:sz w:val="20"/>
                <w:szCs w:val="20"/>
                <w:lang w:eastAsia="hu-HU"/>
              </w:rPr>
            </w:pPr>
            <w:r w:rsidRPr="000043B5">
              <w:rPr>
                <w:rFonts w:ascii="Playfair Display" w:hAnsi="Playfair Display" w:eastAsia="Times New Roman" w:cs="Times New Roman"/>
                <w:sz w:val="20"/>
                <w:szCs w:val="20"/>
                <w:lang w:eastAsia="hu-HU"/>
              </w:rPr>
              <w:t xml:space="preserve">A tantárgy részletes </w:t>
            </w:r>
            <w:r w:rsidRPr="000043B5">
              <w:rPr>
                <w:rFonts w:ascii="Playfair Display" w:hAnsi="Playfair Display" w:eastAsia="Times New Roman" w:cs="Times New Roman"/>
                <w:b/>
                <w:sz w:val="20"/>
                <w:szCs w:val="20"/>
                <w:lang w:eastAsia="hu-HU"/>
              </w:rPr>
              <w:t>tematikája levelező képzés</w:t>
            </w:r>
            <w:r>
              <w:rPr>
                <w:rFonts w:ascii="Playfair Display" w:hAnsi="Playfair Display" w:eastAsia="Times New Roman" w:cs="Times New Roman"/>
                <w:b/>
                <w:sz w:val="20"/>
                <w:szCs w:val="20"/>
                <w:lang w:eastAsia="hu-HU"/>
              </w:rPr>
              <w:t>:</w:t>
            </w:r>
          </w:p>
        </w:tc>
      </w:tr>
      <w:tr w:rsidRPr="000043B5" w:rsidR="00AD6024" w:rsidTr="476229D4" w14:paraId="40D4DDB9" w14:textId="77777777">
        <w:trPr>
          <w:trHeight w:val="495"/>
          <w:jc w:val="center"/>
        </w:trPr>
        <w:tc>
          <w:tcPr>
            <w:tcW w:w="989"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Pr="00DE2351" w:rsidR="00AD6024" w:rsidP="00AD6024" w:rsidRDefault="00AD6024" w14:paraId="42273B4A" w14:textId="7DC56090">
            <w:pPr>
              <w:spacing w:after="0" w:line="240" w:lineRule="auto"/>
              <w:jc w:val="center"/>
              <w:rPr>
                <w:rFonts w:ascii="Playfair Display" w:hAnsi="Playfair Display" w:eastAsia="Times New Roman" w:cs="Times New Roman"/>
                <w:b/>
                <w:bCs/>
                <w:sz w:val="20"/>
                <w:szCs w:val="20"/>
                <w:lang w:eastAsia="hu-HU"/>
              </w:rPr>
            </w:pPr>
            <w:r w:rsidRPr="00DE2351">
              <w:rPr>
                <w:rFonts w:ascii="Playfair Display" w:hAnsi="Playfair Display" w:eastAsia="Times New Roman" w:cs="Times New Roman"/>
                <w:b/>
                <w:bCs/>
                <w:sz w:val="20"/>
                <w:szCs w:val="20"/>
                <w:lang w:eastAsia="hu-HU"/>
              </w:rPr>
              <w:lastRenderedPageBreak/>
              <w:t>Alkalom</w:t>
            </w:r>
          </w:p>
        </w:tc>
        <w:tc>
          <w:tcPr>
            <w:tcW w:w="7885" w:type="dxa"/>
            <w:gridSpan w:val="2"/>
            <w:tcBorders>
              <w:top w:val="dotted" w:color="auto" w:sz="4" w:space="0"/>
              <w:left w:val="single" w:color="auto" w:sz="4" w:space="0"/>
              <w:bottom w:val="single" w:color="auto" w:sz="4" w:space="0"/>
              <w:right w:val="single" w:color="auto" w:sz="4" w:space="0"/>
            </w:tcBorders>
            <w:shd w:val="clear" w:color="auto" w:fill="auto"/>
            <w:tcMar/>
            <w:vAlign w:val="center"/>
          </w:tcPr>
          <w:p w:rsidRPr="00DE2351" w:rsidR="00AD6024" w:rsidP="00AD6024" w:rsidRDefault="00AD6024" w14:paraId="1CE60EDC" w14:textId="09BB8E61">
            <w:pPr>
              <w:spacing w:after="0" w:line="240" w:lineRule="auto"/>
              <w:jc w:val="center"/>
              <w:rPr>
                <w:rFonts w:ascii="Playfair Display" w:hAnsi="Playfair Display" w:eastAsia="Times New Roman" w:cs="Times New Roman"/>
                <w:b/>
                <w:bCs/>
                <w:sz w:val="20"/>
                <w:szCs w:val="20"/>
                <w:lang w:eastAsia="hu-HU"/>
              </w:rPr>
            </w:pPr>
            <w:r w:rsidRPr="00DE2351">
              <w:rPr>
                <w:rFonts w:ascii="Playfair Display" w:hAnsi="Playfair Display" w:eastAsia="Times New Roman" w:cs="Times New Roman"/>
                <w:b/>
                <w:bCs/>
                <w:sz w:val="20"/>
                <w:szCs w:val="20"/>
                <w:lang w:eastAsia="hu-HU"/>
              </w:rPr>
              <w:t>Tananyag leírása</w:t>
            </w:r>
          </w:p>
        </w:tc>
      </w:tr>
      <w:tr w:rsidRPr="000043B5" w:rsidR="00AD6024" w:rsidTr="476229D4" w14:paraId="6D699DBA" w14:textId="77777777">
        <w:trPr>
          <w:trHeight w:val="354"/>
          <w:jc w:val="center"/>
        </w:trPr>
        <w:tc>
          <w:tcPr>
            <w:tcW w:w="989"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Pr="000043B5" w:rsidR="00AD6024" w:rsidP="00AD6024" w:rsidRDefault="00AD6024" w14:paraId="22AEA5AA" w14:textId="69FCA73A">
            <w:pPr>
              <w:spacing w:after="0" w:line="240" w:lineRule="auto"/>
              <w:jc w:val="center"/>
              <w:rPr>
                <w:rFonts w:ascii="Playfair Display" w:hAnsi="Playfair Display" w:eastAsia="Times New Roman" w:cs="Times New Roman"/>
                <w:sz w:val="20"/>
                <w:szCs w:val="20"/>
                <w:lang w:eastAsia="hu-HU"/>
              </w:rPr>
            </w:pPr>
            <w:r>
              <w:rPr>
                <w:rFonts w:ascii="Playfair Display" w:hAnsi="Playfair Display" w:eastAsia="Times New Roman" w:cs="Times New Roman"/>
                <w:sz w:val="20"/>
                <w:szCs w:val="20"/>
                <w:lang w:eastAsia="hu-HU"/>
              </w:rPr>
              <w:t>1.</w:t>
            </w:r>
          </w:p>
        </w:tc>
        <w:tc>
          <w:tcPr>
            <w:tcW w:w="7885" w:type="dxa"/>
            <w:gridSpan w:val="2"/>
            <w:tcBorders>
              <w:top w:val="dotted" w:color="auto" w:sz="4" w:space="0"/>
              <w:left w:val="single" w:color="auto" w:sz="4" w:space="0"/>
              <w:bottom w:val="single" w:color="auto" w:sz="4" w:space="0"/>
              <w:right w:val="single" w:color="auto" w:sz="4" w:space="0"/>
            </w:tcBorders>
            <w:shd w:val="clear" w:color="auto" w:fill="auto"/>
            <w:tcMar/>
          </w:tcPr>
          <w:p w:rsidRPr="000043B5" w:rsidR="00AD6024" w:rsidP="000C19F8" w:rsidRDefault="00D847C8" w14:paraId="21163E88" w14:textId="5982C215">
            <w:pPr>
              <w:spacing w:after="0" w:line="240" w:lineRule="auto"/>
              <w:jc w:val="both"/>
              <w:rPr>
                <w:rFonts w:ascii="Playfair Display" w:hAnsi="Playfair Display" w:eastAsia="Times New Roman" w:cs="Times New Roman"/>
                <w:sz w:val="20"/>
                <w:szCs w:val="20"/>
                <w:lang w:eastAsia="hu-HU"/>
              </w:rPr>
            </w:pPr>
            <w:r w:rsidRPr="00D847C8">
              <w:rPr>
                <w:rFonts w:ascii="Playfair Display" w:hAnsi="Playfair Display" w:eastAsia="Times New Roman" w:cs="Times New Roman"/>
                <w:sz w:val="20"/>
                <w:szCs w:val="20"/>
                <w:lang w:eastAsia="hu-HU"/>
              </w:rPr>
              <w:t>PULMONOLÓGIA: Pulmonológiai fizikális és eszközök vizsgálóeljárások.</w:t>
            </w:r>
            <w:r w:rsidR="000C19F8">
              <w:rPr>
                <w:rFonts w:ascii="Playfair Display" w:hAnsi="Playfair Display" w:eastAsia="Times New Roman" w:cs="Times New Roman"/>
                <w:sz w:val="20"/>
                <w:szCs w:val="20"/>
                <w:lang w:eastAsia="hu-HU"/>
              </w:rPr>
              <w:t xml:space="preserve"> </w:t>
            </w:r>
            <w:r w:rsidRPr="00D847C8">
              <w:rPr>
                <w:rFonts w:ascii="Playfair Display" w:hAnsi="Playfair Display" w:eastAsia="Times New Roman" w:cs="Times New Roman"/>
                <w:sz w:val="20"/>
                <w:szCs w:val="20"/>
                <w:lang w:eastAsia="hu-HU"/>
              </w:rPr>
              <w:t>Rosszindulatú tüdőbetegségek és akut szövődményeik. Légzési elégtelenség és ellátása nem intenzív osztályon</w:t>
            </w:r>
            <w:r w:rsidR="000C19F8">
              <w:rPr>
                <w:rFonts w:ascii="Playfair Display" w:hAnsi="Playfair Display" w:eastAsia="Times New Roman" w:cs="Times New Roman"/>
                <w:sz w:val="20"/>
                <w:szCs w:val="20"/>
                <w:lang w:eastAsia="hu-HU"/>
              </w:rPr>
              <w:t xml:space="preserve">. </w:t>
            </w:r>
            <w:r w:rsidRPr="00D847C8">
              <w:rPr>
                <w:rFonts w:ascii="Playfair Display" w:hAnsi="Playfair Display" w:eastAsia="Times New Roman" w:cs="Times New Roman"/>
                <w:sz w:val="20"/>
                <w:szCs w:val="20"/>
                <w:lang w:eastAsia="hu-HU"/>
              </w:rPr>
              <w:t>Pulmonalis embólia, pulmonális hypertonia. Cysticus fibrosis. Interstitialis tüdőbetegségek, foglalkozási ártalmak. Pleura és a mediasztinum kórfolyamatai, ellátásuk. Mellkassebészeti beavatkozások: thoracostomia, mellkasi drenázs indikációi, kivitelezése. Sürgősségi megfontolások. Köhögés, köpetürítés elkülönítő kórisméje, a sürgősségi ellátó teendői. Mellkasi fájdalmat okozó pulmonológiai kórfolyamatok, elkülönítő kórisme. Esetbemutatás (</w:t>
            </w:r>
            <w:r w:rsidR="000C19F8">
              <w:rPr>
                <w:rFonts w:ascii="Playfair Display" w:hAnsi="Playfair Display" w:eastAsia="Times New Roman" w:cs="Times New Roman"/>
                <w:sz w:val="20"/>
                <w:szCs w:val="20"/>
                <w:lang w:eastAsia="hu-HU"/>
              </w:rPr>
              <w:t>6</w:t>
            </w:r>
            <w:r w:rsidRPr="00D847C8">
              <w:rPr>
                <w:rFonts w:ascii="Playfair Display" w:hAnsi="Playfair Display" w:eastAsia="Times New Roman" w:cs="Times New Roman"/>
                <w:sz w:val="20"/>
                <w:szCs w:val="20"/>
                <w:lang w:eastAsia="hu-HU"/>
              </w:rPr>
              <w:t xml:space="preserve"> óra)</w:t>
            </w:r>
          </w:p>
        </w:tc>
      </w:tr>
      <w:tr w:rsidRPr="000043B5" w:rsidR="00AD6024" w:rsidTr="476229D4" w14:paraId="1D1EEB99" w14:textId="77777777">
        <w:trPr>
          <w:trHeight w:val="304"/>
          <w:jc w:val="center"/>
        </w:trPr>
        <w:tc>
          <w:tcPr>
            <w:tcW w:w="989"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Pr="000043B5" w:rsidR="00AD6024" w:rsidP="00AD6024" w:rsidRDefault="00AD6024" w14:paraId="414AC6D7" w14:textId="4AA1E8A3">
            <w:pPr>
              <w:spacing w:after="0" w:line="240" w:lineRule="auto"/>
              <w:jc w:val="center"/>
              <w:rPr>
                <w:rFonts w:ascii="Playfair Display" w:hAnsi="Playfair Display" w:eastAsia="Times New Roman" w:cs="Times New Roman"/>
                <w:sz w:val="20"/>
                <w:szCs w:val="20"/>
                <w:lang w:eastAsia="hu-HU"/>
              </w:rPr>
            </w:pPr>
            <w:r w:rsidRPr="000043B5">
              <w:rPr>
                <w:rFonts w:ascii="Playfair Display" w:hAnsi="Playfair Display" w:eastAsia="Times New Roman" w:cs="Times New Roman"/>
                <w:sz w:val="20"/>
                <w:szCs w:val="20"/>
                <w:lang w:eastAsia="hu-HU"/>
              </w:rPr>
              <w:t>2.</w:t>
            </w:r>
          </w:p>
        </w:tc>
        <w:tc>
          <w:tcPr>
            <w:tcW w:w="7885" w:type="dxa"/>
            <w:gridSpan w:val="2"/>
            <w:tcBorders>
              <w:top w:val="dotted" w:color="auto" w:sz="4" w:space="0"/>
              <w:left w:val="single" w:color="auto" w:sz="4" w:space="0"/>
              <w:bottom w:val="single" w:color="auto" w:sz="4" w:space="0"/>
              <w:right w:val="single" w:color="auto" w:sz="4" w:space="0"/>
            </w:tcBorders>
            <w:shd w:val="clear" w:color="auto" w:fill="auto"/>
            <w:tcMar/>
          </w:tcPr>
          <w:p w:rsidRPr="000043B5" w:rsidR="00AD6024" w:rsidP="000C19F8" w:rsidRDefault="000C19F8" w14:paraId="6AECE520" w14:textId="62911303">
            <w:pPr>
              <w:spacing w:after="0" w:line="240" w:lineRule="auto"/>
              <w:jc w:val="both"/>
              <w:rPr>
                <w:rFonts w:ascii="Playfair Display" w:hAnsi="Playfair Display" w:eastAsia="Times New Roman" w:cs="Times New Roman"/>
                <w:sz w:val="20"/>
                <w:szCs w:val="20"/>
                <w:lang w:eastAsia="hu-HU"/>
              </w:rPr>
            </w:pPr>
            <w:r w:rsidRPr="000C19F8">
              <w:rPr>
                <w:rFonts w:ascii="Playfair Display" w:hAnsi="Playfair Display" w:eastAsia="Times New Roman" w:cs="Times New Roman"/>
                <w:sz w:val="20"/>
                <w:szCs w:val="20"/>
                <w:lang w:eastAsia="hu-HU"/>
              </w:rPr>
              <w:t>FÜL-ORR-GÉGÉSZET: A fül-orr-gégészet tárgya, vizsgálómódszerei. Sürgősségi ellátást igénylő légúti kórfolyamatok klinikuma, differenciáldiagnosztikája. Légúti idegentest és ellátásnak lehetőségei klinikai környezetben.</w:t>
            </w:r>
            <w:r>
              <w:rPr>
                <w:rFonts w:ascii="Playfair Display" w:hAnsi="Playfair Display" w:eastAsia="Times New Roman" w:cs="Times New Roman"/>
                <w:sz w:val="20"/>
                <w:szCs w:val="20"/>
                <w:lang w:eastAsia="hu-HU"/>
              </w:rPr>
              <w:t xml:space="preserve"> </w:t>
            </w:r>
            <w:r w:rsidRPr="000C19F8">
              <w:rPr>
                <w:rFonts w:ascii="Playfair Display" w:hAnsi="Playfair Display" w:eastAsia="Times New Roman" w:cs="Times New Roman"/>
                <w:sz w:val="20"/>
                <w:szCs w:val="20"/>
                <w:lang w:eastAsia="hu-HU"/>
              </w:rPr>
              <w:t>A nyak elváltozásai, sürgősségi ellátást igénylő fej-nyak sebészeti kórfolyamatok A gége kórfolyamatai. A rekedtség okai. A szájüreg és a garat betegségei: gyulladásos, jóindulatú és malignus kórfolyamatok, szövődményeik</w:t>
            </w:r>
            <w:r>
              <w:rPr>
                <w:rFonts w:ascii="Playfair Display" w:hAnsi="Playfair Display" w:eastAsia="Times New Roman" w:cs="Times New Roman"/>
                <w:sz w:val="20"/>
                <w:szCs w:val="20"/>
                <w:lang w:eastAsia="hu-HU"/>
              </w:rPr>
              <w:t xml:space="preserve">. </w:t>
            </w:r>
            <w:r w:rsidRPr="000C19F8">
              <w:rPr>
                <w:rFonts w:ascii="Playfair Display" w:hAnsi="Playfair Display" w:eastAsia="Times New Roman" w:cs="Times New Roman"/>
                <w:sz w:val="20"/>
                <w:szCs w:val="20"/>
                <w:lang w:eastAsia="hu-HU"/>
              </w:rPr>
              <w:t>Az orr betegsége: orrdugulás differenciáldiagnosztikája. Az epistaxis okai és ellátása (klinikai keretek közötti is). Az orr-melléküregek betegségei. Trauma fül-orr-gégészeti következményei és a sérülések ellátása. Fontosabb fül-orr-gégészeti műtéti ellátásuk, perioperatív és műtétek utáni sürgősségi teendők. Sudden deafness (hirtelen hallásvesztés) okai, elkülönítő kórisméje, sürgősségi teendők. A külső- és középfül betegségei és ellátásuk. Az otoscopia jelentősége, módszere. Otoneurológiai alapok: a szédülés fül-orr-gégészeti okai, kivizsgálása: tünetek, panaszok, statokinetikus próbák. Kórokok, akut teendők és terápiás lehetőségek. (</w:t>
            </w:r>
            <w:r>
              <w:rPr>
                <w:rFonts w:ascii="Playfair Display" w:hAnsi="Playfair Display" w:eastAsia="Times New Roman" w:cs="Times New Roman"/>
                <w:sz w:val="20"/>
                <w:szCs w:val="20"/>
                <w:lang w:eastAsia="hu-HU"/>
              </w:rPr>
              <w:t>6</w:t>
            </w:r>
            <w:r w:rsidRPr="000C19F8">
              <w:rPr>
                <w:rFonts w:ascii="Playfair Display" w:hAnsi="Playfair Display" w:eastAsia="Times New Roman" w:cs="Times New Roman"/>
                <w:sz w:val="20"/>
                <w:szCs w:val="20"/>
                <w:lang w:eastAsia="hu-HU"/>
              </w:rPr>
              <w:t xml:space="preserve"> óra)</w:t>
            </w:r>
          </w:p>
        </w:tc>
      </w:tr>
      <w:tr w:rsidRPr="000043B5" w:rsidR="00AD6024" w:rsidTr="476229D4" w14:paraId="272E013C" w14:textId="77777777">
        <w:trPr>
          <w:trHeight w:val="296"/>
          <w:jc w:val="center"/>
        </w:trPr>
        <w:tc>
          <w:tcPr>
            <w:tcW w:w="989"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Pr="000043B5" w:rsidR="00AD6024" w:rsidP="00AD6024" w:rsidRDefault="00AD6024" w14:paraId="46410082" w14:textId="5C4B87BE">
            <w:pPr>
              <w:spacing w:after="0" w:line="240" w:lineRule="auto"/>
              <w:jc w:val="center"/>
              <w:rPr>
                <w:rFonts w:ascii="Playfair Display" w:hAnsi="Playfair Display" w:eastAsia="Times New Roman" w:cs="Times New Roman"/>
                <w:sz w:val="20"/>
                <w:szCs w:val="20"/>
                <w:lang w:eastAsia="hu-HU"/>
              </w:rPr>
            </w:pPr>
            <w:r w:rsidRPr="000043B5">
              <w:rPr>
                <w:rFonts w:ascii="Playfair Display" w:hAnsi="Playfair Display" w:eastAsia="Times New Roman" w:cs="Times New Roman"/>
                <w:sz w:val="20"/>
                <w:szCs w:val="20"/>
                <w:lang w:eastAsia="hu-HU"/>
              </w:rPr>
              <w:t>3.</w:t>
            </w:r>
          </w:p>
        </w:tc>
        <w:tc>
          <w:tcPr>
            <w:tcW w:w="7885" w:type="dxa"/>
            <w:gridSpan w:val="2"/>
            <w:tcBorders>
              <w:top w:val="dotted" w:color="auto" w:sz="4" w:space="0"/>
              <w:left w:val="single" w:color="auto" w:sz="4" w:space="0"/>
              <w:bottom w:val="single" w:color="auto" w:sz="4" w:space="0"/>
              <w:right w:val="single" w:color="auto" w:sz="4" w:space="0"/>
            </w:tcBorders>
            <w:shd w:val="clear" w:color="auto" w:fill="auto"/>
            <w:tcMar/>
          </w:tcPr>
          <w:p w:rsidRPr="000043B5" w:rsidR="00AD6024" w:rsidP="00A63834" w:rsidRDefault="000C19F8" w14:paraId="342C6BBD" w14:textId="1D5E55FC">
            <w:pPr>
              <w:spacing w:after="0" w:line="240" w:lineRule="auto"/>
              <w:jc w:val="both"/>
              <w:rPr>
                <w:rFonts w:ascii="Playfair Display" w:hAnsi="Playfair Display" w:eastAsia="Times New Roman" w:cs="Times New Roman"/>
                <w:sz w:val="20"/>
                <w:szCs w:val="20"/>
                <w:lang w:eastAsia="hu-HU"/>
              </w:rPr>
            </w:pPr>
            <w:r w:rsidRPr="000C19F8">
              <w:rPr>
                <w:rFonts w:ascii="Playfair Display" w:hAnsi="Playfair Display" w:eastAsia="Times New Roman" w:cs="Times New Roman"/>
                <w:sz w:val="20"/>
                <w:szCs w:val="20"/>
                <w:lang w:eastAsia="hu-HU"/>
              </w:rPr>
              <w:t>OXYOLÓGIA A+B I.: A légút (Á) definíciója, klinikai anatómiája: konduktív és respiratórikus szakaszok, morfológiai különbségek. A légzőrendszer (B) klinikai anatómiája, légzési térfogatok. A légút átjárhatóságát biztosító beavatkozások és eszközök. A légút fenntartására képes beavatkozások és eszközök. A légút biztosítási nehezítettségének megítélési lehetőségei. A nehéz légút definíciói, szintjei</w:t>
            </w:r>
            <w:r w:rsidR="00A63834">
              <w:rPr>
                <w:rFonts w:ascii="Playfair Display" w:hAnsi="Playfair Display" w:eastAsia="Times New Roman" w:cs="Times New Roman"/>
                <w:sz w:val="20"/>
                <w:szCs w:val="20"/>
                <w:lang w:eastAsia="hu-HU"/>
              </w:rPr>
              <w:t xml:space="preserve">. </w:t>
            </w:r>
            <w:r w:rsidRPr="000C19F8">
              <w:rPr>
                <w:rFonts w:ascii="Playfair Display" w:hAnsi="Playfair Display" w:eastAsia="Times New Roman" w:cs="Times New Roman"/>
                <w:sz w:val="20"/>
                <w:szCs w:val="20"/>
                <w:lang w:eastAsia="hu-HU"/>
              </w:rPr>
              <w:t>Légútbiztosítás supraglotticus eszközökkel: indikációk, nehézségek</w:t>
            </w:r>
            <w:r w:rsidR="00A63834">
              <w:rPr>
                <w:rFonts w:ascii="Playfair Display" w:hAnsi="Playfair Display" w:eastAsia="Times New Roman" w:cs="Times New Roman"/>
                <w:sz w:val="20"/>
                <w:szCs w:val="20"/>
                <w:lang w:eastAsia="hu-HU"/>
              </w:rPr>
              <w:t xml:space="preserve">. </w:t>
            </w:r>
            <w:r w:rsidRPr="000C19F8">
              <w:rPr>
                <w:rFonts w:ascii="Playfair Display" w:hAnsi="Playfair Display" w:eastAsia="Times New Roman" w:cs="Times New Roman"/>
                <w:sz w:val="20"/>
                <w:szCs w:val="20"/>
                <w:lang w:eastAsia="hu-HU"/>
              </w:rPr>
              <w:t>Endotrachealis intubatio kivitelezése. TSI, RSI, DSI, éber intubatios módszerek</w:t>
            </w:r>
            <w:r w:rsidR="00A63834">
              <w:rPr>
                <w:rFonts w:ascii="Playfair Display" w:hAnsi="Playfair Display" w:eastAsia="Times New Roman" w:cs="Times New Roman"/>
                <w:sz w:val="20"/>
                <w:szCs w:val="20"/>
                <w:lang w:eastAsia="hu-HU"/>
              </w:rPr>
              <w:t xml:space="preserve">. </w:t>
            </w:r>
            <w:r w:rsidRPr="000C19F8">
              <w:rPr>
                <w:rFonts w:ascii="Playfair Display" w:hAnsi="Playfair Display" w:eastAsia="Times New Roman" w:cs="Times New Roman"/>
                <w:sz w:val="20"/>
                <w:szCs w:val="20"/>
                <w:lang w:eastAsia="hu-HU"/>
              </w:rPr>
              <w:t>Alternatív intubatios módszerek és lehetőségek: nasopharingealis, vak, retrográd intubatio, jégcsákány módszer, ülő beteg intubatioja</w:t>
            </w:r>
            <w:r w:rsidR="00A63834">
              <w:rPr>
                <w:rFonts w:ascii="Playfair Display" w:hAnsi="Playfair Display" w:eastAsia="Times New Roman" w:cs="Times New Roman"/>
                <w:sz w:val="20"/>
                <w:szCs w:val="20"/>
                <w:lang w:eastAsia="hu-HU"/>
              </w:rPr>
              <w:t>.</w:t>
            </w:r>
            <w:r w:rsidRPr="000C19F8">
              <w:rPr>
                <w:rFonts w:ascii="Playfair Display" w:hAnsi="Playfair Display" w:eastAsia="Times New Roman" w:cs="Times New Roman"/>
                <w:sz w:val="20"/>
                <w:szCs w:val="20"/>
                <w:lang w:eastAsia="hu-HU"/>
              </w:rPr>
              <w:t xml:space="preserve"> Maszk-szelep-ballonos lélegeztetés, a lélegeztethetőség megítélése (MOANS) (</w:t>
            </w:r>
            <w:r w:rsidR="00A63834">
              <w:rPr>
                <w:rFonts w:ascii="Playfair Display" w:hAnsi="Playfair Display" w:eastAsia="Times New Roman" w:cs="Times New Roman"/>
                <w:sz w:val="20"/>
                <w:szCs w:val="20"/>
                <w:lang w:eastAsia="hu-HU"/>
              </w:rPr>
              <w:t>6</w:t>
            </w:r>
            <w:r w:rsidRPr="000C19F8">
              <w:rPr>
                <w:rFonts w:ascii="Playfair Display" w:hAnsi="Playfair Display" w:eastAsia="Times New Roman" w:cs="Times New Roman"/>
                <w:sz w:val="20"/>
                <w:szCs w:val="20"/>
                <w:lang w:eastAsia="hu-HU"/>
              </w:rPr>
              <w:t xml:space="preserve"> óra)</w:t>
            </w:r>
          </w:p>
        </w:tc>
      </w:tr>
      <w:tr w:rsidRPr="000043B5" w:rsidR="00586BBE" w:rsidTr="476229D4" w14:paraId="032119AB" w14:textId="77777777">
        <w:trPr>
          <w:trHeight w:val="296"/>
          <w:jc w:val="center"/>
        </w:trPr>
        <w:tc>
          <w:tcPr>
            <w:tcW w:w="989"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Pr="000043B5" w:rsidR="00586BBE" w:rsidP="00AD6024" w:rsidRDefault="00586BBE" w14:paraId="5BEDB2A5" w14:textId="35465693">
            <w:pPr>
              <w:spacing w:after="0" w:line="240" w:lineRule="auto"/>
              <w:jc w:val="center"/>
              <w:rPr>
                <w:rFonts w:ascii="Playfair Display" w:hAnsi="Playfair Display" w:eastAsia="Times New Roman" w:cs="Times New Roman"/>
                <w:sz w:val="20"/>
                <w:szCs w:val="20"/>
                <w:lang w:eastAsia="hu-HU"/>
              </w:rPr>
            </w:pPr>
            <w:r>
              <w:rPr>
                <w:rFonts w:ascii="Playfair Display" w:hAnsi="Playfair Display" w:eastAsia="Times New Roman" w:cs="Times New Roman"/>
                <w:sz w:val="20"/>
                <w:szCs w:val="20"/>
                <w:lang w:eastAsia="hu-HU"/>
              </w:rPr>
              <w:t>4.</w:t>
            </w:r>
          </w:p>
        </w:tc>
        <w:tc>
          <w:tcPr>
            <w:tcW w:w="7885" w:type="dxa"/>
            <w:gridSpan w:val="2"/>
            <w:tcBorders>
              <w:top w:val="dotted" w:color="auto" w:sz="4" w:space="0"/>
              <w:left w:val="single" w:color="auto" w:sz="4" w:space="0"/>
              <w:bottom w:val="single" w:color="auto" w:sz="4" w:space="0"/>
              <w:right w:val="single" w:color="auto" w:sz="4" w:space="0"/>
            </w:tcBorders>
            <w:shd w:val="clear" w:color="auto" w:fill="auto"/>
            <w:tcMar/>
          </w:tcPr>
          <w:p w:rsidRPr="000043B5" w:rsidR="00586BBE" w:rsidP="00A63834" w:rsidRDefault="00A63834" w14:paraId="48EB3A1C" w14:textId="4BA238BE">
            <w:pPr>
              <w:spacing w:after="0" w:line="240" w:lineRule="auto"/>
              <w:jc w:val="both"/>
              <w:rPr>
                <w:rFonts w:ascii="Playfair Display" w:hAnsi="Playfair Display" w:eastAsia="Times New Roman" w:cs="Times New Roman"/>
                <w:sz w:val="20"/>
                <w:szCs w:val="20"/>
                <w:lang w:eastAsia="hu-HU"/>
              </w:rPr>
            </w:pPr>
            <w:r w:rsidRPr="00A63834">
              <w:rPr>
                <w:rFonts w:ascii="Playfair Display" w:hAnsi="Playfair Display" w:eastAsia="Times New Roman" w:cs="Times New Roman"/>
                <w:sz w:val="20"/>
                <w:szCs w:val="20"/>
                <w:lang w:eastAsia="hu-HU"/>
              </w:rPr>
              <w:t>OXYOLÓGIA A+B II.: A nehezített légút biztosítása, az egyes szintek esetén alkalmazhatóalternatív módszerek: fiberopticus ETI, GEB alkalmazása, videolaryngoscopia</w:t>
            </w:r>
            <w:r>
              <w:rPr>
                <w:rFonts w:ascii="Playfair Display" w:hAnsi="Playfair Display" w:eastAsia="Times New Roman" w:cs="Times New Roman"/>
                <w:sz w:val="20"/>
                <w:szCs w:val="20"/>
                <w:lang w:eastAsia="hu-HU"/>
              </w:rPr>
              <w:t>.</w:t>
            </w:r>
            <w:r w:rsidRPr="00A63834">
              <w:rPr>
                <w:rFonts w:ascii="Playfair Display" w:hAnsi="Playfair Display" w:eastAsia="Times New Roman" w:cs="Times New Roman"/>
                <w:sz w:val="20"/>
                <w:szCs w:val="20"/>
                <w:lang w:eastAsia="hu-HU"/>
              </w:rPr>
              <w:t xml:space="preserve"> Transglotticus és infraglotticus légútbiztosítási módszerek és eszközök: sebészeti conicotomia, Quick-Trach, TLJV</w:t>
            </w:r>
            <w:r>
              <w:rPr>
                <w:rFonts w:ascii="Playfair Display" w:hAnsi="Playfair Display" w:eastAsia="Times New Roman" w:cs="Times New Roman"/>
                <w:sz w:val="20"/>
                <w:szCs w:val="20"/>
                <w:lang w:eastAsia="hu-HU"/>
              </w:rPr>
              <w:t xml:space="preserve">. </w:t>
            </w:r>
            <w:r w:rsidRPr="00A63834">
              <w:rPr>
                <w:rFonts w:ascii="Playfair Display" w:hAnsi="Playfair Display" w:eastAsia="Times New Roman" w:cs="Times New Roman"/>
                <w:sz w:val="20"/>
                <w:szCs w:val="20"/>
                <w:lang w:eastAsia="hu-HU"/>
              </w:rPr>
              <w:t>A légzési elégtelenség kórélettana, a légzőrendszer (B) sürgősségi fizikális vizsgálata</w:t>
            </w:r>
            <w:r>
              <w:rPr>
                <w:rFonts w:ascii="Playfair Display" w:hAnsi="Playfair Display" w:eastAsia="Times New Roman" w:cs="Times New Roman"/>
                <w:sz w:val="20"/>
                <w:szCs w:val="20"/>
                <w:lang w:eastAsia="hu-HU"/>
              </w:rPr>
              <w:t>.</w:t>
            </w:r>
            <w:r w:rsidRPr="00A63834">
              <w:rPr>
                <w:rFonts w:ascii="Playfair Display" w:hAnsi="Playfair Display" w:eastAsia="Times New Roman" w:cs="Times New Roman"/>
                <w:sz w:val="20"/>
                <w:szCs w:val="20"/>
                <w:lang w:eastAsia="hu-HU"/>
              </w:rPr>
              <w:t xml:space="preserve"> A mesterséges lélegeztetés indikációi, módjai. Lélegeztetési paraméterek</w:t>
            </w:r>
            <w:r>
              <w:rPr>
                <w:rFonts w:ascii="Playfair Display" w:hAnsi="Playfair Display" w:eastAsia="Times New Roman" w:cs="Times New Roman"/>
                <w:sz w:val="20"/>
                <w:szCs w:val="20"/>
                <w:lang w:eastAsia="hu-HU"/>
              </w:rPr>
              <w:t>.</w:t>
            </w:r>
            <w:r w:rsidRPr="00A63834">
              <w:rPr>
                <w:rFonts w:ascii="Playfair Display" w:hAnsi="Playfair Display" w:eastAsia="Times New Roman" w:cs="Times New Roman"/>
                <w:sz w:val="20"/>
                <w:szCs w:val="20"/>
                <w:lang w:eastAsia="hu-HU"/>
              </w:rPr>
              <w:t xml:space="preserve"> Respirációs terápia, lélegeztetési módok, a respirátor beállítása</w:t>
            </w:r>
            <w:r>
              <w:rPr>
                <w:rFonts w:ascii="Playfair Display" w:hAnsi="Playfair Display" w:eastAsia="Times New Roman" w:cs="Times New Roman"/>
                <w:sz w:val="20"/>
                <w:szCs w:val="20"/>
                <w:lang w:eastAsia="hu-HU"/>
              </w:rPr>
              <w:t xml:space="preserve">. </w:t>
            </w:r>
            <w:r w:rsidRPr="00A63834">
              <w:rPr>
                <w:rFonts w:ascii="Playfair Display" w:hAnsi="Playfair Display" w:eastAsia="Times New Roman" w:cs="Times New Roman"/>
                <w:sz w:val="20"/>
                <w:szCs w:val="20"/>
                <w:lang w:eastAsia="hu-HU"/>
              </w:rPr>
              <w:t>A lélegeztetett beteg monitorozása. A sürgősségi respirátorok speciális lélegeztetési módjai. (2 óra)</w:t>
            </w:r>
          </w:p>
        </w:tc>
      </w:tr>
      <w:tr w:rsidRPr="000043B5" w:rsidR="00D847C8" w:rsidTr="476229D4" w14:paraId="2477B901" w14:textId="77777777">
        <w:trPr>
          <w:trHeight w:val="296"/>
          <w:jc w:val="center"/>
        </w:trPr>
        <w:tc>
          <w:tcPr>
            <w:tcW w:w="989"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00D847C8" w:rsidP="00D847C8" w:rsidRDefault="00D847C8" w14:paraId="78633220" w14:textId="7487E1C2">
            <w:pPr>
              <w:spacing w:after="0" w:line="240" w:lineRule="auto"/>
              <w:jc w:val="center"/>
              <w:rPr>
                <w:rFonts w:ascii="Playfair Display" w:hAnsi="Playfair Display" w:eastAsia="Times New Roman" w:cs="Times New Roman"/>
                <w:sz w:val="20"/>
                <w:szCs w:val="20"/>
                <w:lang w:eastAsia="hu-HU"/>
              </w:rPr>
            </w:pPr>
            <w:r w:rsidRPr="00C52A8F">
              <w:rPr>
                <w:b/>
                <w:bCs/>
              </w:rPr>
              <w:t>Alkalom</w:t>
            </w:r>
          </w:p>
        </w:tc>
        <w:tc>
          <w:tcPr>
            <w:tcW w:w="7885" w:type="dxa"/>
            <w:gridSpan w:val="2"/>
            <w:tcBorders>
              <w:top w:val="dotted" w:color="auto" w:sz="4" w:space="0"/>
              <w:left w:val="single" w:color="auto" w:sz="4" w:space="0"/>
              <w:bottom w:val="single" w:color="auto" w:sz="4" w:space="0"/>
              <w:right w:val="single" w:color="auto" w:sz="4" w:space="0"/>
            </w:tcBorders>
            <w:shd w:val="clear" w:color="auto" w:fill="auto"/>
            <w:tcMar/>
            <w:vAlign w:val="center"/>
          </w:tcPr>
          <w:p w:rsidRPr="000043B5" w:rsidR="00D847C8" w:rsidP="00D847C8" w:rsidRDefault="00D847C8" w14:paraId="1086F528" w14:textId="1BECD7EC">
            <w:pPr>
              <w:spacing w:after="0" w:line="240" w:lineRule="auto"/>
              <w:jc w:val="center"/>
              <w:rPr>
                <w:rFonts w:ascii="Playfair Display" w:hAnsi="Playfair Display" w:eastAsia="Times New Roman" w:cs="Times New Roman"/>
                <w:sz w:val="20"/>
                <w:szCs w:val="20"/>
                <w:lang w:eastAsia="hu-HU"/>
              </w:rPr>
            </w:pPr>
            <w:r w:rsidRPr="00C52A8F">
              <w:rPr>
                <w:b/>
                <w:bCs/>
              </w:rPr>
              <w:t>Gyakorlati ismeretkör leírása</w:t>
            </w:r>
          </w:p>
        </w:tc>
      </w:tr>
      <w:tr w:rsidRPr="000043B5" w:rsidR="00D847C8" w:rsidTr="476229D4" w14:paraId="475A36F2" w14:textId="77777777">
        <w:trPr>
          <w:trHeight w:val="296"/>
          <w:jc w:val="center"/>
        </w:trPr>
        <w:tc>
          <w:tcPr>
            <w:tcW w:w="989"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00D847C8" w:rsidP="00D847C8" w:rsidRDefault="00D847C8" w14:paraId="2D02124A" w14:textId="0CA4474C">
            <w:pPr>
              <w:spacing w:after="0" w:line="240" w:lineRule="auto"/>
              <w:jc w:val="center"/>
              <w:rPr>
                <w:rFonts w:ascii="Playfair Display" w:hAnsi="Playfair Display" w:eastAsia="Times New Roman" w:cs="Times New Roman"/>
                <w:sz w:val="20"/>
                <w:szCs w:val="20"/>
                <w:lang w:eastAsia="hu-HU"/>
              </w:rPr>
            </w:pPr>
            <w:r>
              <w:rPr>
                <w:rFonts w:ascii="Playfair Display" w:hAnsi="Playfair Display" w:eastAsia="Times New Roman" w:cs="Times New Roman"/>
                <w:sz w:val="20"/>
                <w:szCs w:val="20"/>
                <w:lang w:eastAsia="hu-HU"/>
              </w:rPr>
              <w:t>1.</w:t>
            </w:r>
          </w:p>
        </w:tc>
        <w:tc>
          <w:tcPr>
            <w:tcW w:w="7885" w:type="dxa"/>
            <w:gridSpan w:val="2"/>
            <w:tcBorders>
              <w:top w:val="dotted" w:color="auto" w:sz="4" w:space="0"/>
              <w:left w:val="single" w:color="auto" w:sz="4" w:space="0"/>
              <w:bottom w:val="single" w:color="auto" w:sz="4" w:space="0"/>
              <w:right w:val="single" w:color="auto" w:sz="4" w:space="0"/>
            </w:tcBorders>
            <w:shd w:val="clear" w:color="auto" w:fill="auto"/>
            <w:tcMar/>
          </w:tcPr>
          <w:p w:rsidRPr="000043B5" w:rsidR="00D847C8" w:rsidP="00F42F2F" w:rsidRDefault="00F42F2F" w14:paraId="43845914" w14:textId="4190B418">
            <w:pPr>
              <w:spacing w:after="0" w:line="240" w:lineRule="auto"/>
              <w:jc w:val="both"/>
              <w:rPr>
                <w:rFonts w:ascii="Playfair Display" w:hAnsi="Playfair Display" w:eastAsia="Times New Roman" w:cs="Times New Roman"/>
                <w:sz w:val="20"/>
                <w:szCs w:val="20"/>
                <w:lang w:eastAsia="hu-HU"/>
              </w:rPr>
            </w:pPr>
            <w:r w:rsidRPr="00F42F2F">
              <w:rPr>
                <w:rFonts w:ascii="Playfair Display" w:hAnsi="Playfair Display" w:eastAsia="Times New Roman" w:cs="Times New Roman"/>
                <w:sz w:val="20"/>
                <w:szCs w:val="20"/>
                <w:lang w:eastAsia="hu-HU"/>
              </w:rPr>
              <w:t>Obstruktív légúti betegségek: asthma bronchiale, súlyos asthmas roham diagnosztikája és terápiája</w:t>
            </w:r>
            <w:r>
              <w:rPr>
                <w:rFonts w:ascii="Playfair Display" w:hAnsi="Playfair Display" w:eastAsia="Times New Roman" w:cs="Times New Roman"/>
                <w:sz w:val="20"/>
                <w:szCs w:val="20"/>
                <w:lang w:eastAsia="hu-HU"/>
              </w:rPr>
              <w:t xml:space="preserve">. </w:t>
            </w:r>
            <w:r w:rsidRPr="00F42F2F">
              <w:rPr>
                <w:rFonts w:ascii="Playfair Display" w:hAnsi="Playfair Display" w:eastAsia="Times New Roman" w:cs="Times New Roman"/>
                <w:sz w:val="20"/>
                <w:szCs w:val="20"/>
                <w:lang w:eastAsia="hu-HU"/>
              </w:rPr>
              <w:t>Krónikus obstruktív tüdőbetegség, asthma bronchiale és COPD okozta sürgősségi helyzetek.</w:t>
            </w:r>
            <w:r>
              <w:rPr>
                <w:rFonts w:ascii="Playfair Display" w:hAnsi="Playfair Display" w:eastAsia="Times New Roman" w:cs="Times New Roman"/>
                <w:sz w:val="20"/>
                <w:szCs w:val="20"/>
                <w:lang w:eastAsia="hu-HU"/>
              </w:rPr>
              <w:t xml:space="preserve"> </w:t>
            </w:r>
            <w:r w:rsidRPr="00F42F2F">
              <w:rPr>
                <w:rFonts w:ascii="Playfair Display" w:hAnsi="Playfair Display" w:eastAsia="Times New Roman" w:cs="Times New Roman"/>
                <w:sz w:val="20"/>
                <w:szCs w:val="20"/>
                <w:lang w:eastAsia="hu-HU"/>
              </w:rPr>
              <w:t>Köhögés, köpetürítés elkülönítő kórisméje, a sürgősségi ellátó teendői.</w:t>
            </w:r>
            <w:r>
              <w:rPr>
                <w:rFonts w:ascii="Playfair Display" w:hAnsi="Playfair Display" w:eastAsia="Times New Roman" w:cs="Times New Roman"/>
                <w:sz w:val="20"/>
                <w:szCs w:val="20"/>
                <w:lang w:eastAsia="hu-HU"/>
              </w:rPr>
              <w:t xml:space="preserve"> </w:t>
            </w:r>
            <w:r w:rsidRPr="00F42F2F">
              <w:rPr>
                <w:rFonts w:ascii="Playfair Display" w:hAnsi="Playfair Display" w:eastAsia="Times New Roman" w:cs="Times New Roman"/>
                <w:sz w:val="20"/>
                <w:szCs w:val="20"/>
                <w:lang w:eastAsia="hu-HU"/>
              </w:rPr>
              <w:t>Légzési elégtelenség és ellátása. Mellkasi fájdalmat okozó pulmonológiai kórfolyamatok, elkülönítő kórisme,</w:t>
            </w:r>
            <w:r w:rsidR="00AE650B">
              <w:rPr>
                <w:rFonts w:ascii="Playfair Display" w:hAnsi="Playfair Display" w:eastAsia="Times New Roman" w:cs="Times New Roman"/>
                <w:sz w:val="20"/>
                <w:szCs w:val="20"/>
                <w:lang w:eastAsia="hu-HU"/>
              </w:rPr>
              <w:t xml:space="preserve"> (4 óra)</w:t>
            </w:r>
          </w:p>
        </w:tc>
      </w:tr>
      <w:tr w:rsidRPr="000043B5" w:rsidR="00D847C8" w:rsidTr="476229D4" w14:paraId="7CFFB4C8" w14:textId="77777777">
        <w:trPr>
          <w:trHeight w:val="296"/>
          <w:jc w:val="center"/>
        </w:trPr>
        <w:tc>
          <w:tcPr>
            <w:tcW w:w="989"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00D847C8" w:rsidP="00D847C8" w:rsidRDefault="00D847C8" w14:paraId="7114668E" w14:textId="365903E1">
            <w:pPr>
              <w:spacing w:after="0" w:line="240" w:lineRule="auto"/>
              <w:jc w:val="center"/>
              <w:rPr>
                <w:rFonts w:ascii="Playfair Display" w:hAnsi="Playfair Display" w:eastAsia="Times New Roman" w:cs="Times New Roman"/>
                <w:sz w:val="20"/>
                <w:szCs w:val="20"/>
                <w:lang w:eastAsia="hu-HU"/>
              </w:rPr>
            </w:pPr>
            <w:r>
              <w:rPr>
                <w:rFonts w:ascii="Playfair Display" w:hAnsi="Playfair Display" w:eastAsia="Times New Roman" w:cs="Times New Roman"/>
                <w:sz w:val="20"/>
                <w:szCs w:val="20"/>
                <w:lang w:eastAsia="hu-HU"/>
              </w:rPr>
              <w:lastRenderedPageBreak/>
              <w:t>2.</w:t>
            </w:r>
          </w:p>
        </w:tc>
        <w:tc>
          <w:tcPr>
            <w:tcW w:w="7885" w:type="dxa"/>
            <w:gridSpan w:val="2"/>
            <w:tcBorders>
              <w:top w:val="dotted" w:color="auto" w:sz="4" w:space="0"/>
              <w:left w:val="single" w:color="auto" w:sz="4" w:space="0"/>
              <w:bottom w:val="single" w:color="auto" w:sz="4" w:space="0"/>
              <w:right w:val="single" w:color="auto" w:sz="4" w:space="0"/>
            </w:tcBorders>
            <w:shd w:val="clear" w:color="auto" w:fill="auto"/>
            <w:tcMar/>
          </w:tcPr>
          <w:p w:rsidRPr="000043B5" w:rsidR="00D847C8" w:rsidP="00BC5C9A" w:rsidRDefault="00BC5C9A" w14:paraId="36AF453B" w14:textId="34716E46">
            <w:pPr>
              <w:spacing w:after="0" w:line="240" w:lineRule="auto"/>
              <w:jc w:val="both"/>
              <w:rPr>
                <w:rFonts w:ascii="Playfair Display" w:hAnsi="Playfair Display" w:eastAsia="Times New Roman" w:cs="Times New Roman"/>
                <w:sz w:val="20"/>
                <w:szCs w:val="20"/>
                <w:lang w:eastAsia="hu-HU"/>
              </w:rPr>
            </w:pPr>
            <w:r w:rsidRPr="00BC5C9A">
              <w:rPr>
                <w:rFonts w:ascii="Playfair Display" w:hAnsi="Playfair Display" w:eastAsia="Times New Roman" w:cs="Times New Roman"/>
                <w:sz w:val="20"/>
                <w:szCs w:val="20"/>
                <w:lang w:eastAsia="hu-HU"/>
              </w:rPr>
              <w:t>Fül-Orr-Gégészeti akut kórképek kezelése.</w:t>
            </w:r>
            <w:r>
              <w:rPr>
                <w:rFonts w:ascii="Playfair Display" w:hAnsi="Playfair Display" w:eastAsia="Times New Roman" w:cs="Times New Roman"/>
                <w:sz w:val="20"/>
                <w:szCs w:val="20"/>
                <w:lang w:eastAsia="hu-HU"/>
              </w:rPr>
              <w:t xml:space="preserve"> </w:t>
            </w:r>
            <w:r w:rsidRPr="00BC5C9A">
              <w:rPr>
                <w:rFonts w:ascii="Playfair Display" w:hAnsi="Playfair Display" w:eastAsia="Times New Roman" w:cs="Times New Roman"/>
                <w:sz w:val="20"/>
                <w:szCs w:val="20"/>
                <w:lang w:eastAsia="hu-HU"/>
              </w:rPr>
              <w:t>Sürgősségi mellkassebészeti beavatkozások indikációs területei.</w:t>
            </w:r>
            <w:r>
              <w:rPr>
                <w:rFonts w:ascii="Playfair Display" w:hAnsi="Playfair Display" w:eastAsia="Times New Roman" w:cs="Times New Roman"/>
                <w:sz w:val="20"/>
                <w:szCs w:val="20"/>
                <w:lang w:eastAsia="hu-HU"/>
              </w:rPr>
              <w:t xml:space="preserve"> </w:t>
            </w:r>
            <w:r w:rsidRPr="00BC5C9A">
              <w:rPr>
                <w:rFonts w:ascii="Playfair Display" w:hAnsi="Playfair Display" w:eastAsia="Times New Roman" w:cs="Times New Roman"/>
                <w:sz w:val="20"/>
                <w:szCs w:val="20"/>
                <w:lang w:eastAsia="hu-HU"/>
              </w:rPr>
              <w:t>A légút átjárhatóságát biztosító beavatkozások és eszközök. A légút fenntartására képes beavatkozások és eszközök.</w:t>
            </w:r>
            <w:r>
              <w:rPr>
                <w:rFonts w:ascii="Playfair Display" w:hAnsi="Playfair Display" w:eastAsia="Times New Roman" w:cs="Times New Roman"/>
                <w:sz w:val="20"/>
                <w:szCs w:val="20"/>
                <w:lang w:eastAsia="hu-HU"/>
              </w:rPr>
              <w:t xml:space="preserve"> </w:t>
            </w:r>
            <w:r w:rsidRPr="00BC5C9A">
              <w:rPr>
                <w:rFonts w:ascii="Playfair Display" w:hAnsi="Playfair Display" w:eastAsia="Times New Roman" w:cs="Times New Roman"/>
                <w:sz w:val="20"/>
                <w:szCs w:val="20"/>
                <w:lang w:eastAsia="hu-HU"/>
              </w:rPr>
              <w:t>A légút biztosítási nehezítettségének megítélési lehetőségei.</w:t>
            </w:r>
            <w:r w:rsidR="00AE650B">
              <w:rPr>
                <w:rFonts w:ascii="Playfair Display" w:hAnsi="Playfair Display" w:eastAsia="Times New Roman" w:cs="Times New Roman"/>
                <w:sz w:val="20"/>
                <w:szCs w:val="20"/>
                <w:lang w:eastAsia="hu-HU"/>
              </w:rPr>
              <w:t xml:space="preserve"> (4 óra)</w:t>
            </w:r>
          </w:p>
        </w:tc>
      </w:tr>
      <w:tr w:rsidRPr="000043B5" w:rsidR="00D847C8" w:rsidTr="476229D4" w14:paraId="4083BD02" w14:textId="77777777">
        <w:trPr>
          <w:trHeight w:val="296"/>
          <w:jc w:val="center"/>
        </w:trPr>
        <w:tc>
          <w:tcPr>
            <w:tcW w:w="989"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00D847C8" w:rsidP="00D847C8" w:rsidRDefault="00D847C8" w14:paraId="25BDBA83" w14:textId="021BC50F">
            <w:pPr>
              <w:spacing w:after="0" w:line="240" w:lineRule="auto"/>
              <w:jc w:val="center"/>
              <w:rPr>
                <w:rFonts w:ascii="Playfair Display" w:hAnsi="Playfair Display" w:eastAsia="Times New Roman" w:cs="Times New Roman"/>
                <w:sz w:val="20"/>
                <w:szCs w:val="20"/>
                <w:lang w:eastAsia="hu-HU"/>
              </w:rPr>
            </w:pPr>
            <w:r>
              <w:rPr>
                <w:rFonts w:ascii="Playfair Display" w:hAnsi="Playfair Display" w:eastAsia="Times New Roman" w:cs="Times New Roman"/>
                <w:sz w:val="20"/>
                <w:szCs w:val="20"/>
                <w:lang w:eastAsia="hu-HU"/>
              </w:rPr>
              <w:t>3.</w:t>
            </w:r>
          </w:p>
        </w:tc>
        <w:tc>
          <w:tcPr>
            <w:tcW w:w="7885" w:type="dxa"/>
            <w:gridSpan w:val="2"/>
            <w:tcBorders>
              <w:top w:val="dotted" w:color="auto" w:sz="4" w:space="0"/>
              <w:left w:val="single" w:color="auto" w:sz="4" w:space="0"/>
              <w:bottom w:val="single" w:color="auto" w:sz="4" w:space="0"/>
              <w:right w:val="single" w:color="auto" w:sz="4" w:space="0"/>
            </w:tcBorders>
            <w:shd w:val="clear" w:color="auto" w:fill="auto"/>
            <w:tcMar/>
          </w:tcPr>
          <w:p w:rsidRPr="000043B5" w:rsidR="00D847C8" w:rsidP="002C0CD2" w:rsidRDefault="002C0CD2" w14:paraId="7AA90077" w14:textId="2F782E12">
            <w:pPr>
              <w:spacing w:after="0" w:line="240" w:lineRule="auto"/>
              <w:jc w:val="both"/>
              <w:rPr>
                <w:rFonts w:ascii="Playfair Display" w:hAnsi="Playfair Display" w:eastAsia="Times New Roman" w:cs="Times New Roman"/>
                <w:sz w:val="20"/>
                <w:szCs w:val="20"/>
                <w:lang w:eastAsia="hu-HU"/>
              </w:rPr>
            </w:pPr>
            <w:r w:rsidRPr="002C0CD2">
              <w:rPr>
                <w:rFonts w:ascii="Playfair Display" w:hAnsi="Playfair Display" w:eastAsia="Times New Roman" w:cs="Times New Roman"/>
                <w:sz w:val="20"/>
                <w:szCs w:val="20"/>
                <w:lang w:eastAsia="hu-HU"/>
              </w:rPr>
              <w:t>A nehéz légút definíciói, szintjei. Légúti idegentest és ellátásnak lehetőségei klinikai környezetben.</w:t>
            </w:r>
            <w:r w:rsidR="00AE650B">
              <w:rPr>
                <w:rFonts w:ascii="Playfair Display" w:hAnsi="Playfair Display" w:eastAsia="Times New Roman" w:cs="Times New Roman"/>
                <w:sz w:val="20"/>
                <w:szCs w:val="20"/>
                <w:lang w:eastAsia="hu-HU"/>
              </w:rPr>
              <w:t xml:space="preserve"> (3 óra)</w:t>
            </w:r>
          </w:p>
        </w:tc>
      </w:tr>
      <w:tr w:rsidRPr="000043B5" w:rsidR="00D847C8" w:rsidTr="476229D4" w14:paraId="2DFCF1D9" w14:textId="77777777">
        <w:trPr>
          <w:trHeight w:val="296"/>
          <w:jc w:val="center"/>
        </w:trPr>
        <w:tc>
          <w:tcPr>
            <w:tcW w:w="989" w:type="dxa"/>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vAlign w:val="center"/>
          </w:tcPr>
          <w:p w:rsidR="00D847C8" w:rsidP="00D847C8" w:rsidRDefault="00D847C8" w14:paraId="63855952" w14:textId="486A680F">
            <w:pPr>
              <w:spacing w:after="0" w:line="240" w:lineRule="auto"/>
              <w:jc w:val="center"/>
              <w:rPr>
                <w:rFonts w:ascii="Playfair Display" w:hAnsi="Playfair Display" w:eastAsia="Times New Roman" w:cs="Times New Roman"/>
                <w:sz w:val="20"/>
                <w:szCs w:val="20"/>
                <w:lang w:eastAsia="hu-HU"/>
              </w:rPr>
            </w:pPr>
            <w:r>
              <w:rPr>
                <w:rFonts w:ascii="Playfair Display" w:hAnsi="Playfair Display" w:eastAsia="Times New Roman" w:cs="Times New Roman"/>
                <w:sz w:val="20"/>
                <w:szCs w:val="20"/>
                <w:lang w:eastAsia="hu-HU"/>
              </w:rPr>
              <w:t>4.</w:t>
            </w:r>
          </w:p>
        </w:tc>
        <w:tc>
          <w:tcPr>
            <w:tcW w:w="7885" w:type="dxa"/>
            <w:gridSpan w:val="2"/>
            <w:tcBorders>
              <w:top w:val="dotted" w:color="auto" w:sz="4" w:space="0"/>
              <w:left w:val="single" w:color="auto" w:sz="4" w:space="0"/>
              <w:bottom w:val="single" w:color="auto" w:sz="4" w:space="0"/>
              <w:right w:val="single" w:color="auto" w:sz="4" w:space="0"/>
            </w:tcBorders>
            <w:shd w:val="clear" w:color="auto" w:fill="auto"/>
            <w:tcMar/>
          </w:tcPr>
          <w:p w:rsidRPr="000043B5" w:rsidR="00D847C8" w:rsidP="002C0CD2" w:rsidRDefault="002C0CD2" w14:paraId="0DC086B8" w14:textId="169CAE5E">
            <w:pPr>
              <w:spacing w:after="0" w:line="240" w:lineRule="auto"/>
              <w:jc w:val="both"/>
              <w:rPr>
                <w:rFonts w:ascii="Playfair Display" w:hAnsi="Playfair Display" w:eastAsia="Times New Roman" w:cs="Times New Roman"/>
                <w:sz w:val="20"/>
                <w:szCs w:val="20"/>
                <w:lang w:eastAsia="hu-HU"/>
              </w:rPr>
            </w:pPr>
            <w:r w:rsidRPr="002C0CD2">
              <w:rPr>
                <w:rFonts w:ascii="Playfair Display" w:hAnsi="Playfair Display" w:eastAsia="Times New Roman" w:cs="Times New Roman"/>
                <w:sz w:val="20"/>
                <w:szCs w:val="20"/>
                <w:lang w:eastAsia="hu-HU"/>
              </w:rPr>
              <w:t>A lélegeztetett beteg monitorozása.</w:t>
            </w:r>
            <w:r>
              <w:rPr>
                <w:rFonts w:ascii="Playfair Display" w:hAnsi="Playfair Display" w:eastAsia="Times New Roman" w:cs="Times New Roman"/>
                <w:sz w:val="20"/>
                <w:szCs w:val="20"/>
                <w:lang w:eastAsia="hu-HU"/>
              </w:rPr>
              <w:t xml:space="preserve"> </w:t>
            </w:r>
            <w:r w:rsidRPr="002C0CD2">
              <w:rPr>
                <w:rFonts w:ascii="Playfair Display" w:hAnsi="Playfair Display" w:eastAsia="Times New Roman" w:cs="Times New Roman"/>
                <w:sz w:val="20"/>
                <w:szCs w:val="20"/>
                <w:lang w:eastAsia="hu-HU"/>
              </w:rPr>
              <w:t>A sürgősségi respirátorok speciális lélegeztetési módjai.</w:t>
            </w:r>
            <w:r w:rsidR="00AE650B">
              <w:rPr>
                <w:rFonts w:ascii="Playfair Display" w:hAnsi="Playfair Display" w:eastAsia="Times New Roman" w:cs="Times New Roman"/>
                <w:sz w:val="20"/>
                <w:szCs w:val="20"/>
                <w:lang w:eastAsia="hu-HU"/>
              </w:rPr>
              <w:t xml:space="preserve"> (3 óra)</w:t>
            </w:r>
          </w:p>
        </w:tc>
      </w:tr>
      <w:tr w:rsidRPr="000043B5" w:rsidR="00D847C8" w:rsidTr="476229D4" w14:paraId="7BBDF4F7" w14:textId="77777777">
        <w:trPr>
          <w:jc w:val="center"/>
        </w:trPr>
        <w:tc>
          <w:tcPr>
            <w:tcW w:w="8874" w:type="dxa"/>
            <w:gridSpan w:val="3"/>
            <w:tcBorders>
              <w:left w:val="single" w:color="auto" w:sz="4" w:space="0"/>
              <w:bottom w:val="dotted" w:color="auto" w:sz="4" w:space="0"/>
              <w:right w:val="single" w:color="auto" w:sz="4" w:space="0"/>
            </w:tcBorders>
            <w:shd w:val="clear" w:color="auto" w:fill="auto"/>
            <w:tcMar>
              <w:top w:w="57" w:type="dxa"/>
              <w:bottom w:w="57" w:type="dxa"/>
            </w:tcMar>
            <w:vAlign w:val="center"/>
          </w:tcPr>
          <w:p w:rsidRPr="000043B5" w:rsidR="00D847C8" w:rsidP="00D847C8" w:rsidRDefault="00D847C8" w14:paraId="40B1B01C" w14:textId="77777777">
            <w:pPr>
              <w:suppressAutoHyphens/>
              <w:spacing w:after="0" w:line="240" w:lineRule="auto"/>
              <w:rPr>
                <w:rFonts w:ascii="Playfair Display" w:hAnsi="Playfair Display" w:eastAsia="Times New Roman" w:cs="Times New Roman"/>
                <w:b/>
                <w:sz w:val="20"/>
                <w:szCs w:val="20"/>
                <w:lang w:eastAsia="hu-HU"/>
              </w:rPr>
            </w:pPr>
            <w:r w:rsidRPr="000043B5">
              <w:rPr>
                <w:rFonts w:ascii="Playfair Display" w:hAnsi="Playfair Display" w:eastAsia="Times New Roman" w:cs="Times New Roman"/>
                <w:sz w:val="20"/>
                <w:szCs w:val="20"/>
                <w:lang w:eastAsia="hu-HU"/>
              </w:rPr>
              <w:t xml:space="preserve">A </w:t>
            </w:r>
            <w:r w:rsidRPr="000043B5">
              <w:rPr>
                <w:rFonts w:ascii="Playfair Display" w:hAnsi="Playfair Display" w:eastAsia="Times New Roman" w:cs="Times New Roman"/>
                <w:b/>
                <w:sz w:val="20"/>
                <w:szCs w:val="20"/>
                <w:lang w:eastAsia="hu-HU"/>
              </w:rPr>
              <w:t>2-5</w:t>
            </w:r>
            <w:r w:rsidRPr="000043B5">
              <w:rPr>
                <w:rFonts w:ascii="Playfair Display" w:hAnsi="Playfair Display" w:eastAsia="Times New Roman" w:cs="Times New Roman"/>
                <w:sz w:val="20"/>
                <w:szCs w:val="20"/>
                <w:lang w:eastAsia="hu-HU"/>
              </w:rPr>
              <w:t xml:space="preserve"> legfontosabb </w:t>
            </w:r>
            <w:r w:rsidRPr="000043B5">
              <w:rPr>
                <w:rFonts w:ascii="Playfair Display" w:hAnsi="Playfair Display" w:eastAsia="Times New Roman" w:cs="Times New Roman"/>
                <w:i/>
                <w:sz w:val="20"/>
                <w:szCs w:val="20"/>
                <w:lang w:eastAsia="hu-HU"/>
              </w:rPr>
              <w:t>kötelező,</w:t>
            </w:r>
            <w:r w:rsidRPr="000043B5">
              <w:rPr>
                <w:rFonts w:ascii="Playfair Display" w:hAnsi="Playfair Display" w:eastAsia="Times New Roman" w:cs="Times New Roman"/>
                <w:sz w:val="20"/>
                <w:szCs w:val="20"/>
                <w:lang w:eastAsia="hu-HU"/>
              </w:rPr>
              <w:t xml:space="preserve"> illetve </w:t>
            </w:r>
            <w:r w:rsidRPr="000043B5">
              <w:rPr>
                <w:rFonts w:ascii="Playfair Display" w:hAnsi="Playfair Display" w:eastAsia="Times New Roman" w:cs="Times New Roman"/>
                <w:i/>
                <w:sz w:val="20"/>
                <w:szCs w:val="20"/>
                <w:lang w:eastAsia="hu-HU"/>
              </w:rPr>
              <w:t>ajánlott</w:t>
            </w:r>
            <w:r w:rsidRPr="000043B5">
              <w:rPr>
                <w:rFonts w:ascii="Playfair Display" w:hAnsi="Playfair Display" w:eastAsia="Times New Roman" w:cs="Times New Roman"/>
                <w:b/>
                <w:i/>
                <w:sz w:val="20"/>
                <w:szCs w:val="20"/>
                <w:lang w:eastAsia="hu-HU"/>
              </w:rPr>
              <w:t xml:space="preserve"> </w:t>
            </w:r>
            <w:r w:rsidRPr="000043B5">
              <w:rPr>
                <w:rFonts w:ascii="Playfair Display" w:hAnsi="Playfair Display" w:eastAsia="Times New Roman" w:cs="Times New Roman"/>
                <w:b/>
                <w:sz w:val="20"/>
                <w:szCs w:val="20"/>
                <w:lang w:eastAsia="hu-HU"/>
              </w:rPr>
              <w:t xml:space="preserve">irodalom </w:t>
            </w:r>
            <w:r w:rsidRPr="000043B5">
              <w:rPr>
                <w:rFonts w:ascii="Playfair Display" w:hAnsi="Playfair Display" w:eastAsia="Times New Roman" w:cs="Times New Roman"/>
                <w:sz w:val="20"/>
                <w:szCs w:val="20"/>
                <w:lang w:eastAsia="hu-HU"/>
              </w:rPr>
              <w:t>(jegyzet, tankönyv) felsorolása bibliográfiai adatokkal (szerző, cím, kiadás adatai, (esetleg oldalak), ISBN)</w:t>
            </w:r>
          </w:p>
        </w:tc>
      </w:tr>
      <w:tr w:rsidRPr="000043B5" w:rsidR="00D847C8" w:rsidTr="476229D4" w14:paraId="61F57441" w14:textId="77777777">
        <w:trPr>
          <w:jc w:val="center"/>
        </w:trPr>
        <w:tc>
          <w:tcPr>
            <w:tcW w:w="8874" w:type="dxa"/>
            <w:gridSpan w:val="3"/>
            <w:tcBorders>
              <w:top w:val="dotted" w:color="auto" w:sz="4" w:space="0"/>
              <w:left w:val="single" w:color="auto" w:sz="4" w:space="0"/>
              <w:bottom w:val="dotted" w:color="auto" w:sz="4" w:space="0"/>
              <w:right w:val="single" w:color="auto" w:sz="4" w:space="0"/>
            </w:tcBorders>
            <w:shd w:val="clear" w:color="auto" w:fill="auto"/>
            <w:tcMar>
              <w:top w:w="57" w:type="dxa"/>
              <w:bottom w:w="57" w:type="dxa"/>
            </w:tcMar>
            <w:vAlign w:val="center"/>
          </w:tcPr>
          <w:p w:rsidR="00D847C8" w:rsidP="00D847C8" w:rsidRDefault="00D847C8" w14:paraId="416B9CEB" w14:textId="77777777">
            <w:pPr>
              <w:spacing w:after="0" w:line="240" w:lineRule="auto"/>
              <w:rPr>
                <w:rFonts w:ascii="Playfair Display" w:hAnsi="Playfair Display" w:eastAsia="Times New Roman" w:cs="Times New Roman"/>
                <w:b/>
                <w:sz w:val="20"/>
                <w:szCs w:val="20"/>
                <w:lang w:eastAsia="hu-HU"/>
              </w:rPr>
            </w:pPr>
            <w:r w:rsidRPr="000043B5">
              <w:rPr>
                <w:rFonts w:ascii="Playfair Display" w:hAnsi="Playfair Display" w:eastAsia="Times New Roman" w:cs="Times New Roman"/>
                <w:b/>
                <w:sz w:val="20"/>
                <w:szCs w:val="20"/>
                <w:lang w:eastAsia="hu-HU"/>
              </w:rPr>
              <w:t>Kötelező:</w:t>
            </w:r>
          </w:p>
          <w:p w:rsidRPr="00907B82" w:rsidR="00D847C8" w:rsidP="00D847C8" w:rsidRDefault="00D847C8" w14:paraId="32752DE5" w14:textId="33669BDE">
            <w:pPr>
              <w:pStyle w:val="Listaszerbekezds"/>
              <w:numPr>
                <w:ilvl w:val="0"/>
                <w:numId w:val="5"/>
              </w:numPr>
              <w:spacing w:after="0" w:line="240" w:lineRule="auto"/>
              <w:rPr>
                <w:rFonts w:ascii="Playfair Display" w:hAnsi="Playfair Display" w:eastAsia="Times New Roman" w:cs="Times New Roman"/>
                <w:bCs/>
                <w:sz w:val="20"/>
                <w:szCs w:val="20"/>
                <w:lang w:eastAsia="hu-HU"/>
              </w:rPr>
            </w:pPr>
            <w:r w:rsidRPr="00907B82">
              <w:rPr>
                <w:rFonts w:ascii="Playfair Display" w:hAnsi="Playfair Display" w:eastAsia="Times New Roman" w:cs="Times New Roman"/>
                <w:bCs/>
                <w:sz w:val="20"/>
                <w:szCs w:val="20"/>
                <w:lang w:eastAsia="hu-HU"/>
              </w:rPr>
              <w:t>Oktató által kiadott óravázlatok (http://oxyologia.hu)</w:t>
            </w:r>
          </w:p>
          <w:p w:rsidRPr="00907B82" w:rsidR="00D847C8" w:rsidP="00D847C8" w:rsidRDefault="00D847C8" w14:paraId="546E744C" w14:textId="21CCD1AB">
            <w:pPr>
              <w:pStyle w:val="Listaszerbekezds"/>
              <w:numPr>
                <w:ilvl w:val="0"/>
                <w:numId w:val="5"/>
              </w:numPr>
              <w:spacing w:after="0" w:line="240" w:lineRule="auto"/>
              <w:rPr>
                <w:rFonts w:ascii="Playfair Display" w:hAnsi="Playfair Display" w:eastAsia="Times New Roman" w:cs="Times New Roman"/>
                <w:bCs/>
                <w:sz w:val="20"/>
                <w:szCs w:val="20"/>
                <w:lang w:eastAsia="hu-HU"/>
              </w:rPr>
            </w:pPr>
            <w:r w:rsidRPr="00907B82">
              <w:rPr>
                <w:rFonts w:ascii="Playfair Display" w:hAnsi="Playfair Display" w:eastAsia="Times New Roman" w:cs="Times New Roman"/>
                <w:bCs/>
                <w:sz w:val="20"/>
                <w:szCs w:val="20"/>
                <w:lang w:eastAsia="hu-HU"/>
              </w:rPr>
              <w:t>Betlehem (szerk.): A sürgősségi ellátás elméleti és gyakorlati alapjai könyv vonatkozó fejezetei</w:t>
            </w:r>
          </w:p>
          <w:p w:rsidRPr="000043B5" w:rsidR="00D847C8" w:rsidP="00D847C8" w:rsidRDefault="00D847C8" w14:paraId="0E0947E2" w14:textId="77777777">
            <w:pPr>
              <w:spacing w:after="0" w:line="240" w:lineRule="auto"/>
              <w:rPr>
                <w:rFonts w:ascii="Playfair Display" w:hAnsi="Playfair Display" w:eastAsia="Times New Roman" w:cs="Times New Roman"/>
                <w:b/>
                <w:sz w:val="20"/>
                <w:szCs w:val="20"/>
                <w:lang w:eastAsia="hu-HU"/>
              </w:rPr>
            </w:pPr>
            <w:r w:rsidRPr="000043B5">
              <w:rPr>
                <w:rFonts w:ascii="Playfair Display" w:hAnsi="Playfair Display" w:eastAsia="Times New Roman" w:cs="Times New Roman"/>
                <w:b/>
                <w:sz w:val="20"/>
                <w:szCs w:val="20"/>
                <w:lang w:eastAsia="hu-HU"/>
              </w:rPr>
              <w:t>Ajánlott:</w:t>
            </w:r>
          </w:p>
          <w:p w:rsidRPr="004F3762" w:rsidR="00D847C8" w:rsidP="00D847C8" w:rsidRDefault="00D847C8" w14:paraId="306E3DB7" w14:textId="77777777">
            <w:pPr>
              <w:pStyle w:val="Listaszerbekezds"/>
              <w:numPr>
                <w:ilvl w:val="0"/>
                <w:numId w:val="5"/>
              </w:numPr>
              <w:spacing w:after="0" w:line="240" w:lineRule="auto"/>
              <w:rPr>
                <w:rFonts w:ascii="Playfair Display" w:hAnsi="Playfair Display" w:eastAsia="Times New Roman" w:cs="Times New Roman"/>
                <w:sz w:val="20"/>
                <w:szCs w:val="20"/>
                <w:lang w:eastAsia="hu-HU"/>
              </w:rPr>
            </w:pPr>
            <w:r w:rsidRPr="004F3762">
              <w:rPr>
                <w:rFonts w:ascii="Playfair Display" w:hAnsi="Playfair Display" w:eastAsia="Times New Roman" w:cs="Times New Roman"/>
                <w:sz w:val="20"/>
                <w:szCs w:val="20"/>
                <w:lang w:eastAsia="hu-HU"/>
              </w:rPr>
              <w:t>Gerlinger Imre: Tünetorientált fül-orr-gégészet (Medicina, 2013 ISBN szám: 978 963 226 466 0)</w:t>
            </w:r>
          </w:p>
          <w:p w:rsidRPr="008F028F" w:rsidR="00D847C8" w:rsidP="00D847C8" w:rsidRDefault="00D847C8" w14:paraId="6E9EECF5" w14:textId="10425912">
            <w:pPr>
              <w:pStyle w:val="Listaszerbekezds"/>
              <w:numPr>
                <w:ilvl w:val="0"/>
                <w:numId w:val="5"/>
              </w:numPr>
              <w:spacing w:after="0" w:line="240" w:lineRule="auto"/>
              <w:rPr>
                <w:rFonts w:ascii="Playfair Display" w:hAnsi="Playfair Display" w:eastAsia="Times New Roman" w:cs="Times New Roman"/>
                <w:sz w:val="20"/>
                <w:szCs w:val="20"/>
                <w:lang w:eastAsia="hu-HU"/>
              </w:rPr>
            </w:pPr>
            <w:r w:rsidRPr="004F3762">
              <w:rPr>
                <w:rFonts w:ascii="Playfair Display" w:hAnsi="Playfair Display" w:eastAsia="Times New Roman" w:cs="Times New Roman"/>
                <w:sz w:val="20"/>
                <w:szCs w:val="20"/>
                <w:lang w:eastAsia="hu-HU"/>
              </w:rPr>
              <w:t>Magyar Pál, Vastag Endre: Pulmonológiai betegségek (Semmelweis, 2005 ISBN szám: 963 921 445 0)</w:t>
            </w:r>
          </w:p>
        </w:tc>
      </w:tr>
      <w:tr w:rsidRPr="000043B5" w:rsidR="00D847C8" w:rsidTr="476229D4" w14:paraId="7B01CCD3" w14:textId="77777777">
        <w:trPr>
          <w:jc w:val="center"/>
        </w:trPr>
        <w:tc>
          <w:tcPr>
            <w:tcW w:w="8874" w:type="dxa"/>
            <w:gridSpan w:val="3"/>
            <w:tcBorders>
              <w:left w:val="single" w:color="auto" w:sz="4" w:space="0"/>
              <w:bottom w:val="dotted" w:color="auto" w:sz="4" w:space="0"/>
              <w:right w:val="single" w:color="auto" w:sz="4" w:space="0"/>
            </w:tcBorders>
            <w:shd w:val="clear" w:color="auto" w:fill="auto"/>
            <w:tcMar>
              <w:top w:w="57" w:type="dxa"/>
              <w:bottom w:w="57" w:type="dxa"/>
            </w:tcMar>
            <w:vAlign w:val="center"/>
          </w:tcPr>
          <w:p w:rsidRPr="000043B5" w:rsidR="00D847C8" w:rsidP="00D847C8" w:rsidRDefault="00D847C8" w14:paraId="2079C831" w14:textId="77777777">
            <w:pPr>
              <w:suppressAutoHyphens/>
              <w:spacing w:after="0" w:line="240" w:lineRule="auto"/>
              <w:jc w:val="both"/>
              <w:rPr>
                <w:rFonts w:ascii="Playfair Display" w:hAnsi="Playfair Display" w:eastAsia="Times New Roman" w:cs="Times New Roman"/>
                <w:sz w:val="20"/>
                <w:szCs w:val="20"/>
                <w:lang w:eastAsia="hu-HU"/>
              </w:rPr>
            </w:pPr>
            <w:r w:rsidRPr="000043B5">
              <w:rPr>
                <w:rFonts w:ascii="Playfair Display" w:hAnsi="Playfair Display" w:eastAsia="Times New Roman" w:cs="Times New Roman"/>
                <w:sz w:val="20"/>
                <w:szCs w:val="20"/>
                <w:lang w:eastAsia="hu-HU"/>
              </w:rPr>
              <w:t xml:space="preserve">Azoknak az </w:t>
            </w:r>
            <w:r w:rsidRPr="000043B5">
              <w:rPr>
                <w:rFonts w:ascii="Playfair Display" w:hAnsi="Playfair Display" w:eastAsia="Times New Roman" w:cs="Times New Roman"/>
                <w:b/>
                <w:sz w:val="20"/>
                <w:szCs w:val="20"/>
                <w:lang w:eastAsia="hu-HU"/>
              </w:rPr>
              <w:t>előírt</w:t>
            </w:r>
            <w:r w:rsidRPr="000043B5">
              <w:rPr>
                <w:rFonts w:ascii="Playfair Display" w:hAnsi="Playfair Display" w:eastAsia="Times New Roman" w:cs="Times New Roman"/>
                <w:sz w:val="20"/>
                <w:szCs w:val="20"/>
                <w:lang w:eastAsia="hu-HU"/>
              </w:rPr>
              <w:t xml:space="preserve"> s</w:t>
            </w:r>
            <w:r w:rsidRPr="000043B5">
              <w:rPr>
                <w:rFonts w:ascii="Playfair Display" w:hAnsi="Playfair Display" w:eastAsia="Times New Roman" w:cs="Times New Roman"/>
                <w:b/>
                <w:sz w:val="20"/>
                <w:szCs w:val="20"/>
                <w:lang w:eastAsia="hu-HU"/>
              </w:rPr>
              <w:t>zakmai kompetenciáknak, kompetencia-elemeknek</w:t>
            </w:r>
            <w:r w:rsidRPr="000043B5">
              <w:rPr>
                <w:rFonts w:ascii="Playfair Display" w:hAnsi="Playfair Display" w:eastAsia="Times New Roman" w:cs="Times New Roman"/>
                <w:sz w:val="20"/>
                <w:szCs w:val="20"/>
                <w:lang w:eastAsia="hu-HU"/>
              </w:rPr>
              <w:t xml:space="preserve"> </w:t>
            </w:r>
            <w:r w:rsidRPr="000043B5">
              <w:rPr>
                <w:rFonts w:ascii="Playfair Display" w:hAnsi="Playfair Display" w:eastAsia="Times New Roman" w:cs="Times New Roman"/>
                <w:i/>
                <w:sz w:val="20"/>
                <w:szCs w:val="20"/>
                <w:lang w:eastAsia="hu-HU"/>
              </w:rPr>
              <w:t>(tudás, képesség</w:t>
            </w:r>
            <w:r w:rsidRPr="000043B5">
              <w:rPr>
                <w:rFonts w:ascii="Playfair Display" w:hAnsi="Playfair Display" w:eastAsia="Times New Roman" w:cs="Times New Roman"/>
                <w:sz w:val="20"/>
                <w:szCs w:val="20"/>
                <w:lang w:eastAsia="hu-HU"/>
              </w:rPr>
              <w:t xml:space="preserve"> stb., </w:t>
            </w:r>
            <w:r w:rsidRPr="000043B5">
              <w:rPr>
                <w:rFonts w:ascii="Playfair Display" w:hAnsi="Playfair Display" w:eastAsia="Times New Roman" w:cs="Times New Roman"/>
                <w:i/>
                <w:sz w:val="20"/>
                <w:szCs w:val="20"/>
                <w:lang w:eastAsia="hu-HU"/>
              </w:rPr>
              <w:t xml:space="preserve">KKK </w:t>
            </w:r>
            <w:r w:rsidRPr="000043B5">
              <w:rPr>
                <w:rFonts w:ascii="Playfair Display" w:hAnsi="Playfair Display" w:eastAsia="Times New Roman" w:cs="Times New Roman"/>
                <w:b/>
                <w:i/>
                <w:sz w:val="20"/>
                <w:szCs w:val="20"/>
                <w:lang w:eastAsia="hu-HU"/>
              </w:rPr>
              <w:t>7.</w:t>
            </w:r>
            <w:r w:rsidRPr="000043B5">
              <w:rPr>
                <w:rFonts w:ascii="Playfair Display" w:hAnsi="Playfair Display" w:eastAsia="Times New Roman" w:cs="Times New Roman"/>
                <w:i/>
                <w:sz w:val="20"/>
                <w:szCs w:val="20"/>
                <w:lang w:eastAsia="hu-HU"/>
              </w:rPr>
              <w:t xml:space="preserve"> pont</w:t>
            </w:r>
            <w:r w:rsidRPr="000043B5">
              <w:rPr>
                <w:rFonts w:ascii="Playfair Display" w:hAnsi="Playfair Display" w:eastAsia="Times New Roman" w:cs="Times New Roman"/>
                <w:sz w:val="20"/>
                <w:szCs w:val="20"/>
                <w:lang w:eastAsia="hu-HU"/>
              </w:rPr>
              <w:t xml:space="preserve">) a felsorolása, </w:t>
            </w:r>
            <w:r w:rsidRPr="000043B5">
              <w:rPr>
                <w:rFonts w:ascii="Playfair Display" w:hAnsi="Playfair Display" w:eastAsia="Times New Roman" w:cs="Times New Roman"/>
                <w:b/>
                <w:sz w:val="20"/>
                <w:szCs w:val="20"/>
                <w:lang w:eastAsia="hu-HU"/>
              </w:rPr>
              <w:t>amelyek kialakításához a tantárgy jellemzően, érdemben hozzájárul</w:t>
            </w:r>
          </w:p>
        </w:tc>
      </w:tr>
      <w:tr w:rsidRPr="000043B5" w:rsidR="00D847C8" w:rsidTr="476229D4" w14:paraId="20FD1AD0" w14:textId="77777777">
        <w:trPr>
          <w:trHeight w:val="296"/>
          <w:jc w:val="center"/>
        </w:trPr>
        <w:tc>
          <w:tcPr>
            <w:tcW w:w="8874" w:type="dxa"/>
            <w:gridSpan w:val="3"/>
            <w:tcBorders>
              <w:top w:val="dotted" w:color="auto" w:sz="4" w:space="0"/>
              <w:left w:val="single" w:color="auto" w:sz="4" w:space="0"/>
              <w:bottom w:val="single" w:color="auto" w:sz="4" w:space="0"/>
              <w:right w:val="single" w:color="auto" w:sz="4" w:space="0"/>
            </w:tcBorders>
            <w:shd w:val="clear" w:color="auto" w:fill="auto"/>
            <w:tcMar>
              <w:top w:w="57" w:type="dxa"/>
              <w:bottom w:w="57" w:type="dxa"/>
            </w:tcMar>
          </w:tcPr>
          <w:p w:rsidRPr="00D1004A" w:rsidR="00D847C8" w:rsidP="003252FA" w:rsidRDefault="00D847C8" w14:paraId="14CCFF1B" w14:textId="77777777">
            <w:pPr>
              <w:suppressAutoHyphens/>
              <w:spacing w:after="0" w:line="240" w:lineRule="auto"/>
              <w:jc w:val="both"/>
              <w:rPr>
                <w:rFonts w:ascii="Playfair Display" w:hAnsi="Playfair Display" w:eastAsia="Times New Roman" w:cs="Times New Roman"/>
                <w:b/>
                <w:sz w:val="20"/>
                <w:szCs w:val="20"/>
                <w:lang w:eastAsia="hu-HU"/>
              </w:rPr>
            </w:pPr>
          </w:p>
          <w:p w:rsidRPr="002F4724" w:rsidR="00D847C8" w:rsidP="003252FA" w:rsidRDefault="00D847C8" w14:paraId="176362E3" w14:textId="77777777">
            <w:pPr>
              <w:pStyle w:val="Listaszerbekezds"/>
              <w:numPr>
                <w:ilvl w:val="0"/>
                <w:numId w:val="11"/>
              </w:numPr>
              <w:suppressAutoHyphens/>
              <w:spacing w:after="0" w:line="240" w:lineRule="auto"/>
              <w:jc w:val="both"/>
              <w:rPr>
                <w:rFonts w:ascii="Playfair Display" w:hAnsi="Playfair Display" w:eastAsia="Times New Roman" w:cs="Times New Roman"/>
                <w:b/>
                <w:sz w:val="20"/>
                <w:szCs w:val="20"/>
                <w:lang w:eastAsia="hu-HU"/>
              </w:rPr>
            </w:pPr>
            <w:r w:rsidRPr="002F4724">
              <w:rPr>
                <w:rFonts w:ascii="Playfair Display" w:hAnsi="Playfair Display" w:eastAsia="Times New Roman" w:cs="Times New Roman"/>
                <w:b/>
                <w:sz w:val="20"/>
                <w:szCs w:val="20"/>
                <w:lang w:eastAsia="hu-HU"/>
              </w:rPr>
              <w:t>tudása</w:t>
            </w:r>
          </w:p>
          <w:p w:rsidRPr="00D1004A" w:rsidR="00D847C8" w:rsidP="003252FA" w:rsidRDefault="00D847C8" w14:paraId="5AD55B28" w14:textId="77777777">
            <w:pPr>
              <w:pStyle w:val="Listaszerbekezds"/>
              <w:numPr>
                <w:ilvl w:val="0"/>
                <w:numId w:val="10"/>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Ismeri a gyakoribb betegségek jellegzetes makro- és mikroszkópos, strukturális elváltozásait.</w:t>
            </w:r>
          </w:p>
          <w:p w:rsidRPr="00D1004A" w:rsidR="00D847C8" w:rsidP="003252FA" w:rsidRDefault="00D847C8" w14:paraId="4616EC51" w14:textId="77777777">
            <w:pPr>
              <w:pStyle w:val="Listaszerbekezds"/>
              <w:numPr>
                <w:ilvl w:val="0"/>
                <w:numId w:val="10"/>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Ismeri a főbb diagnosztikai módszerek, működési elvét.</w:t>
            </w:r>
          </w:p>
          <w:p w:rsidRPr="00D1004A" w:rsidR="00D847C8" w:rsidP="003252FA" w:rsidRDefault="00D847C8" w14:paraId="7874B0A5" w14:textId="77777777">
            <w:pPr>
              <w:pStyle w:val="Listaszerbekezds"/>
              <w:numPr>
                <w:ilvl w:val="0"/>
                <w:numId w:val="10"/>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Ismeri a vitális paraméterek mérésének indikációs körét, a beavatkozások és a kapott eredmények értékelésének menetét (beleértve a köpeny és magtemperatúra, láztípusok, légzésszám-minta-típusok, pulzusszám és qualitások, pulzusdeficit, non-invazív méréssel az artériás vérnyomás meghatározását), ismeri a higiénés szükségletek kielégítésének elemeit (beleértve az alkalmazandó eszközöket, eljárásokat és indikációs kört)</w:t>
            </w:r>
          </w:p>
          <w:p w:rsidRPr="00D1004A" w:rsidR="00D847C8" w:rsidP="003252FA" w:rsidRDefault="00D847C8" w14:paraId="2FA9A640" w14:textId="77777777">
            <w:pPr>
              <w:pStyle w:val="Listaszerbekezds"/>
              <w:numPr>
                <w:ilvl w:val="0"/>
                <w:numId w:val="10"/>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Ismeri a hazai egészségügy szervezeti felépítését és intézményrendszerét, ezen belül a mentőellátás és a sürgősségi betegellátás helyét, szerepét és kapcsolatrendszerét.</w:t>
            </w:r>
          </w:p>
          <w:p w:rsidRPr="00D1004A" w:rsidR="00D847C8" w:rsidP="003252FA" w:rsidRDefault="00D847C8" w14:paraId="1A5BA5EA" w14:textId="77777777">
            <w:pPr>
              <w:pStyle w:val="Listaszerbekezds"/>
              <w:numPr>
                <w:ilvl w:val="0"/>
                <w:numId w:val="10"/>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Ismeri a hazai mentőellátás szervezetét, működését, az operatív mentőmunka szolgálati, működési és magatartási szabályait.</w:t>
            </w:r>
          </w:p>
          <w:p w:rsidRPr="00D1004A" w:rsidR="00D847C8" w:rsidP="003252FA" w:rsidRDefault="00D847C8" w14:paraId="48F8D27B" w14:textId="77777777">
            <w:pPr>
              <w:pStyle w:val="Listaszerbekezds"/>
              <w:numPr>
                <w:ilvl w:val="0"/>
                <w:numId w:val="10"/>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Ismeri a kórházi sürgősségi ellátás intézményi szerepét, kereteit, szerveződését és feladatait, a vonatkozó jogszabályokat, a kórházi betegellátó tevékenység működési és magatartási szabályait.</w:t>
            </w:r>
          </w:p>
          <w:p w:rsidRPr="00D1004A" w:rsidR="00D847C8" w:rsidP="003252FA" w:rsidRDefault="00D847C8" w14:paraId="0CAF95AC" w14:textId="77777777">
            <w:pPr>
              <w:pStyle w:val="Listaszerbekezds"/>
              <w:numPr>
                <w:ilvl w:val="0"/>
                <w:numId w:val="10"/>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Ismeri a prehospitális és hospitális ügyeleti és sürgősségi ellátásban használatos korszerű eszközöket, gyógyszereket, kötszereket és műszereket, azok biztonságos alkalmazását.</w:t>
            </w:r>
          </w:p>
          <w:p w:rsidRPr="00D1004A" w:rsidR="00D847C8" w:rsidP="003252FA" w:rsidRDefault="00D847C8" w14:paraId="470DAAEB" w14:textId="77777777">
            <w:pPr>
              <w:pStyle w:val="Listaszerbekezds"/>
              <w:numPr>
                <w:ilvl w:val="0"/>
                <w:numId w:val="10"/>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Ismeri a sürgősségi ellátást igénylő kórfolyamatok kórtani alapjait, kórlefolyását, diagnosztikai lehetőségeit, az aktuális ajánlások szerinti kezelési módjait és alternatíváit.</w:t>
            </w:r>
          </w:p>
          <w:p w:rsidRPr="00D1004A" w:rsidR="00D847C8" w:rsidP="003252FA" w:rsidRDefault="00D847C8" w14:paraId="7262E57D" w14:textId="77777777">
            <w:pPr>
              <w:pStyle w:val="Listaszerbekezds"/>
              <w:numPr>
                <w:ilvl w:val="0"/>
                <w:numId w:val="10"/>
              </w:numPr>
              <w:suppressAutoHyphens/>
              <w:spacing w:after="0" w:line="240" w:lineRule="auto"/>
              <w:jc w:val="both"/>
              <w:rPr>
                <w:rFonts w:ascii="Playfair Display" w:hAnsi="Playfair Display" w:eastAsia="Times New Roman" w:cs="Times New Roman"/>
                <w:b/>
                <w:sz w:val="20"/>
                <w:szCs w:val="20"/>
                <w:lang w:eastAsia="hu-HU"/>
              </w:rPr>
            </w:pPr>
            <w:r w:rsidRPr="00D1004A">
              <w:rPr>
                <w:rFonts w:ascii="Playfair Display" w:hAnsi="Playfair Display" w:eastAsia="Times New Roman" w:cs="Times New Roman"/>
                <w:bCs/>
                <w:sz w:val="20"/>
                <w:szCs w:val="20"/>
                <w:lang w:eastAsia="hu-HU"/>
              </w:rPr>
              <w:t>Ismeri a hazai és nemzetközi, sürgősségi ellátás szempontjából releváns ajánlásokat és protokollokat.</w:t>
            </w:r>
          </w:p>
          <w:p w:rsidRPr="00D1004A" w:rsidR="00D847C8" w:rsidP="003252FA" w:rsidRDefault="00D847C8" w14:paraId="570AF0BC" w14:textId="77777777">
            <w:pPr>
              <w:suppressAutoHyphens/>
              <w:spacing w:after="0" w:line="240" w:lineRule="auto"/>
              <w:jc w:val="both"/>
              <w:rPr>
                <w:rFonts w:ascii="Playfair Display" w:hAnsi="Playfair Display" w:eastAsia="Times New Roman" w:cs="Times New Roman"/>
                <w:b/>
                <w:sz w:val="20"/>
                <w:szCs w:val="20"/>
                <w:lang w:eastAsia="hu-HU"/>
              </w:rPr>
            </w:pPr>
          </w:p>
          <w:p w:rsidRPr="002F4724" w:rsidR="00D847C8" w:rsidP="003252FA" w:rsidRDefault="00D847C8" w14:paraId="59C22DBE" w14:textId="77777777">
            <w:pPr>
              <w:pStyle w:val="Listaszerbekezds"/>
              <w:numPr>
                <w:ilvl w:val="0"/>
                <w:numId w:val="11"/>
              </w:numPr>
              <w:suppressAutoHyphens/>
              <w:spacing w:after="0" w:line="240" w:lineRule="auto"/>
              <w:jc w:val="both"/>
              <w:rPr>
                <w:rFonts w:ascii="Playfair Display" w:hAnsi="Playfair Display" w:eastAsia="Times New Roman" w:cs="Times New Roman"/>
                <w:b/>
                <w:sz w:val="20"/>
                <w:szCs w:val="20"/>
                <w:lang w:eastAsia="hu-HU"/>
              </w:rPr>
            </w:pPr>
            <w:r w:rsidRPr="002F4724">
              <w:rPr>
                <w:rFonts w:ascii="Playfair Display" w:hAnsi="Playfair Display" w:eastAsia="Times New Roman" w:cs="Times New Roman"/>
                <w:b/>
                <w:sz w:val="20"/>
                <w:szCs w:val="20"/>
                <w:lang w:eastAsia="hu-HU"/>
              </w:rPr>
              <w:t>képességei</w:t>
            </w:r>
          </w:p>
          <w:p w:rsidRPr="00D1004A" w:rsidR="00D847C8" w:rsidP="003252FA" w:rsidRDefault="00D847C8" w14:paraId="0961BCE0" w14:textId="77777777">
            <w:pPr>
              <w:pStyle w:val="Listaszerbekezds"/>
              <w:numPr>
                <w:ilvl w:val="0"/>
                <w:numId w:val="9"/>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lastRenderedPageBreak/>
              <w:t>Képes az egészséget károsító tényezőket felismerni, az élettani és kóros működések egymástól való elkülönítésére, kompetencia szintjének megfelelő lépéseket vagy javaslatot tenni a megoldásra.</w:t>
            </w:r>
          </w:p>
          <w:p w:rsidRPr="00D1004A" w:rsidR="00D847C8" w:rsidP="003252FA" w:rsidRDefault="00D847C8" w14:paraId="0597919B" w14:textId="77777777">
            <w:pPr>
              <w:pStyle w:val="Listaszerbekezds"/>
              <w:numPr>
                <w:ilvl w:val="0"/>
                <w:numId w:val="9"/>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Képes gyakorlati munkája során alkalmazni ismereteit a jellegzetes patológiai eltérések, elváltozások kapcsán.</w:t>
            </w:r>
          </w:p>
          <w:p w:rsidRPr="00D1004A" w:rsidR="00D847C8" w:rsidP="003252FA" w:rsidRDefault="00D847C8" w14:paraId="22B98B93" w14:textId="77777777">
            <w:pPr>
              <w:pStyle w:val="Listaszerbekezds"/>
              <w:numPr>
                <w:ilvl w:val="0"/>
                <w:numId w:val="9"/>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Képes a vitális paraméterek megfigyelését (beleértve a köpeny és magtemperatúra, láztípusok, légzésszám-minta-típusok, pulzusszám és qualitások, pulzusdeficit, non-invazív méréssel a vérnyomás meghatározását) önállóan kivitelezni, a kapott eredményeket értékelni.</w:t>
            </w:r>
          </w:p>
          <w:p w:rsidRPr="00D1004A" w:rsidR="00D847C8" w:rsidP="003252FA" w:rsidRDefault="00D847C8" w14:paraId="432C5CF2" w14:textId="77777777">
            <w:pPr>
              <w:pStyle w:val="Listaszerbekezds"/>
              <w:numPr>
                <w:ilvl w:val="0"/>
                <w:numId w:val="9"/>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Képes az alkalmazott gyógyszercsoportok indikációjával, hatásmechanizmusával, mellékhatásaival kapcsolatos kliensoktatási és non-invazív alkalmazási feladatok ellátására.</w:t>
            </w:r>
          </w:p>
          <w:p w:rsidRPr="00D1004A" w:rsidR="00D847C8" w:rsidP="003252FA" w:rsidRDefault="00D847C8" w14:paraId="17F681E3" w14:textId="77777777">
            <w:pPr>
              <w:pStyle w:val="Listaszerbekezds"/>
              <w:numPr>
                <w:ilvl w:val="0"/>
                <w:numId w:val="9"/>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Képes a sürgősségi betegellátás körülményei között szükségessé váló beavatkozások indikációinak felállítására, szakszerű és biztonságos kivitelezésére, a nemkívánatos következmények megelőzésére, felismerésére és hatásai csökkentésére.</w:t>
            </w:r>
          </w:p>
          <w:p w:rsidRPr="00D1004A" w:rsidR="00D847C8" w:rsidP="003252FA" w:rsidRDefault="00D847C8" w14:paraId="66E1B05D" w14:textId="77777777">
            <w:pPr>
              <w:pStyle w:val="Listaszerbekezds"/>
              <w:numPr>
                <w:ilvl w:val="0"/>
                <w:numId w:val="9"/>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Képes a megszerzett ismeretek szakszerű alkalmazására valamennyi sürgősségi ellátást igénylő esetben a helyszínen, illetve a sürgősségi betegellátás rendszerében gyógyintézeti keretek között.</w:t>
            </w:r>
          </w:p>
          <w:p w:rsidRPr="00D1004A" w:rsidR="00D847C8" w:rsidP="003252FA" w:rsidRDefault="00D847C8" w14:paraId="7B37C3E3" w14:textId="77777777">
            <w:pPr>
              <w:pStyle w:val="Listaszerbekezds"/>
              <w:numPr>
                <w:ilvl w:val="0"/>
                <w:numId w:val="9"/>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Képes a betegekkel kapcsolatos, szakmai protokollokban meghatározott triázs tevékenységre.</w:t>
            </w:r>
          </w:p>
          <w:p w:rsidRPr="00D1004A" w:rsidR="00D847C8" w:rsidP="003252FA" w:rsidRDefault="00D847C8" w14:paraId="2562CF15" w14:textId="77777777">
            <w:pPr>
              <w:pStyle w:val="Listaszerbekezds"/>
              <w:numPr>
                <w:ilvl w:val="0"/>
                <w:numId w:val="9"/>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Képes betegellátó team munkájának a megszervezésére, irányítására, értékelésére és korrekciójára.</w:t>
            </w:r>
          </w:p>
          <w:p w:rsidRPr="00D1004A" w:rsidR="00D847C8" w:rsidP="003252FA" w:rsidRDefault="00D847C8" w14:paraId="5AAF1698" w14:textId="77777777">
            <w:pPr>
              <w:pStyle w:val="Listaszerbekezds"/>
              <w:numPr>
                <w:ilvl w:val="0"/>
                <w:numId w:val="9"/>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Képes a kórházi akut ellátói team tagjaként a hospitális sürgősségi ellátásra kompetenciájának megfelelően.</w:t>
            </w:r>
          </w:p>
          <w:p w:rsidRPr="00D1004A" w:rsidR="00D847C8" w:rsidP="003252FA" w:rsidRDefault="00D847C8" w14:paraId="0A02A761" w14:textId="77777777">
            <w:pPr>
              <w:pStyle w:val="Listaszerbekezds"/>
              <w:numPr>
                <w:ilvl w:val="0"/>
                <w:numId w:val="9"/>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Képes a tudásának és problémamegoldó képességének önálló fejlesztésére, a szakirodalomban való tájékozódásra, a helyes tudományos következtetések levonására, az aktuális tudományos eredmények betegellátás során történő alkalmazására.</w:t>
            </w:r>
          </w:p>
          <w:p w:rsidRPr="00D1004A" w:rsidR="00D847C8" w:rsidP="003252FA" w:rsidRDefault="00D847C8" w14:paraId="22DBE5C5" w14:textId="77777777">
            <w:pPr>
              <w:pStyle w:val="Listaszerbekezds"/>
              <w:numPr>
                <w:ilvl w:val="0"/>
                <w:numId w:val="9"/>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Halál megállapítást végez, felismeri a természetes és a rendkívüli halál körülményeit, szükség esetén további intézkedéseket kezdeményez.</w:t>
            </w:r>
          </w:p>
          <w:p w:rsidRPr="00D1004A" w:rsidR="00D847C8" w:rsidP="003252FA" w:rsidRDefault="00D847C8" w14:paraId="690A6C83" w14:textId="77777777">
            <w:pPr>
              <w:pStyle w:val="Listaszerbekezds"/>
              <w:numPr>
                <w:ilvl w:val="0"/>
                <w:numId w:val="9"/>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A légút átjárhatóságát műfogásokkal és segédeszközzel biztosítja és fenntartja, a légzést asszisztált módon támogatja, vagy kontrollált módon pótolja, önállóan megválasztja a megfelelő lélegeztetési módot.</w:t>
            </w:r>
          </w:p>
          <w:p w:rsidRPr="00D1004A" w:rsidR="00D847C8" w:rsidP="003252FA" w:rsidRDefault="00D847C8" w14:paraId="4FF1D566" w14:textId="77777777">
            <w:pPr>
              <w:pStyle w:val="Listaszerbekezds"/>
              <w:numPr>
                <w:ilvl w:val="0"/>
                <w:numId w:val="9"/>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Meghatározott szintű procedurális szedálást, illetve szükség esetén emelt szintű légútbiztosítást végez a mindenkori érvényes protokollok mentén.</w:t>
            </w:r>
          </w:p>
          <w:p w:rsidRPr="00D1004A" w:rsidR="00D847C8" w:rsidP="003252FA" w:rsidRDefault="00D847C8" w14:paraId="0B9494E8" w14:textId="77777777">
            <w:pPr>
              <w:pStyle w:val="Listaszerbekezds"/>
              <w:numPr>
                <w:ilvl w:val="0"/>
                <w:numId w:val="9"/>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Szívritmuszavart felismer és elhárít gyógyszeres, elektromos beavatkozással (kardioverzió, defibrilláció), indokolt esetben a spontán ingerképzést transztorakális non-invazív pacemaker segítségével pótolja, önállóan felismeri a kardiológiai intervenciós lehetőségek indikációit, az azokkal kapcsolatos betegút-szervezési feladatokat ellátja, a beteg definitív ellátását végző teammel, a protokolloknak megfelelően együttműködik.</w:t>
            </w:r>
          </w:p>
          <w:p w:rsidRPr="00D1004A" w:rsidR="00D847C8" w:rsidP="003252FA" w:rsidRDefault="00D847C8" w14:paraId="5E213C81" w14:textId="77777777">
            <w:pPr>
              <w:pStyle w:val="Listaszerbekezds"/>
              <w:numPr>
                <w:ilvl w:val="0"/>
                <w:numId w:val="9"/>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Gondoskodik a szövetek megfelelő vérátáramlásának, oxigén- és tápanyagellátásának biztosításáról, önállóan dönt az ezt biztosító beavatkozásokról, majd kivitelezi azokat.</w:t>
            </w:r>
          </w:p>
          <w:p w:rsidRPr="00D1004A" w:rsidR="00D847C8" w:rsidP="003252FA" w:rsidRDefault="00D847C8" w14:paraId="3C1B11DB" w14:textId="77777777">
            <w:pPr>
              <w:pStyle w:val="Listaszerbekezds"/>
              <w:numPr>
                <w:ilvl w:val="0"/>
                <w:numId w:val="9"/>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A központi és perifériás idegrendszer kórfolyamatait önállóan felismeri, felelősséggel tartozik a betegútért, az életveszélyt és tartós szöveti károsodást önállóan megválasztott beavatkozások kivitelezésével megelőzi.</w:t>
            </w:r>
          </w:p>
          <w:p w:rsidRPr="00D1004A" w:rsidR="00D847C8" w:rsidP="003252FA" w:rsidRDefault="00D847C8" w14:paraId="7588D519" w14:textId="77777777">
            <w:pPr>
              <w:pStyle w:val="Listaszerbekezds"/>
              <w:numPr>
                <w:ilvl w:val="0"/>
                <w:numId w:val="9"/>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Felméri, és felismeri a környezeti veszélyforrásokat, azoktól a beteget, önmagát és a betegellátó-team tagjait védi, az őt érő hatásokat minimalizálja.</w:t>
            </w:r>
          </w:p>
          <w:p w:rsidRPr="00D1004A" w:rsidR="00D847C8" w:rsidP="003252FA" w:rsidRDefault="00D847C8" w14:paraId="1D64186B" w14:textId="77777777">
            <w:pPr>
              <w:pStyle w:val="Listaszerbekezds"/>
              <w:numPr>
                <w:ilvl w:val="0"/>
                <w:numId w:val="9"/>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Önállóan képes a sürgősségi ellátást jellemző csoportdiagnózis megalkotására.</w:t>
            </w:r>
          </w:p>
          <w:p w:rsidRPr="00D1004A" w:rsidR="00D847C8" w:rsidP="003252FA" w:rsidRDefault="00D847C8" w14:paraId="24098FEC" w14:textId="77777777">
            <w:pPr>
              <w:pStyle w:val="Listaszerbekezds"/>
              <w:numPr>
                <w:ilvl w:val="0"/>
                <w:numId w:val="9"/>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Ennek érdekében a sürgősségi eszköz nélküli, eszközös (így az invazív, laboratóriumi és képalkotó vizsgálatok) indikációs körét felállítja, szakszerűen kivitelezi vagy elvégezteti azokat, a vizsgálatok leleteit önállóan értékeli és értelmezi, az eredményeket szintetizálja.</w:t>
            </w:r>
          </w:p>
          <w:p w:rsidRPr="00D1004A" w:rsidR="00D847C8" w:rsidP="003252FA" w:rsidRDefault="00D847C8" w14:paraId="1DE31C6A" w14:textId="77777777">
            <w:pPr>
              <w:pStyle w:val="Listaszerbekezds"/>
              <w:numPr>
                <w:ilvl w:val="0"/>
                <w:numId w:val="9"/>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lastRenderedPageBreak/>
              <w:t>Felismerve kórismealkotó lehetőségeinek vagy képességeinek korlátait, szakmai felettesével, orvossal vagy szakorvossal - együttműködés keretében - konzultál, a konzultáció eredményét értelmezi és végrehajtja.</w:t>
            </w:r>
          </w:p>
          <w:p w:rsidRPr="00D1004A" w:rsidR="00D847C8" w:rsidP="003252FA" w:rsidRDefault="00D847C8" w14:paraId="2CC5D385" w14:textId="77777777">
            <w:pPr>
              <w:pStyle w:val="Listaszerbekezds"/>
              <w:numPr>
                <w:ilvl w:val="0"/>
                <w:numId w:val="9"/>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A beavatkozásai sikertelenségnek, a sürgősségi ellátás jellegzetességéből fakadó korlátainak felismerését követően önálló döntés keretében választ egyéb, rendelkezésére álló betegellátási alternatívák közül.</w:t>
            </w:r>
          </w:p>
          <w:p w:rsidRPr="00D1004A" w:rsidR="00D847C8" w:rsidP="003252FA" w:rsidRDefault="00D847C8" w14:paraId="3C5053F5" w14:textId="77777777">
            <w:pPr>
              <w:pStyle w:val="Listaszerbekezds"/>
              <w:numPr>
                <w:ilvl w:val="0"/>
                <w:numId w:val="9"/>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Felelős a beteg állapotváltozásának felismeréséért, az állapotromlás megelőzéséért. Ennek érdekében dönt a betegmegfigyelés, monitorozás szükséges módjáról, mértékéről, a szükséges vizsgálatok köréről.</w:t>
            </w:r>
          </w:p>
          <w:p w:rsidRPr="00D1004A" w:rsidR="00D847C8" w:rsidP="003252FA" w:rsidRDefault="00D847C8" w14:paraId="70B1B225" w14:textId="77777777">
            <w:pPr>
              <w:pStyle w:val="Listaszerbekezds"/>
              <w:numPr>
                <w:ilvl w:val="0"/>
                <w:numId w:val="9"/>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Megfigyeli vagy megfigyelteti a beteg eszméleti és tudati állapotát, a légutat (annak átjárhatóságát esetleg veszélyeztetettségét), légzésszámát, légzésmélységét és légzésmintázatát, a beteg bőrét és nyálkahártyáját.</w:t>
            </w:r>
          </w:p>
          <w:p w:rsidRPr="00D1004A" w:rsidR="00D847C8" w:rsidP="003252FA" w:rsidRDefault="00D847C8" w14:paraId="6C0C34F8" w14:textId="77777777">
            <w:pPr>
              <w:pStyle w:val="Listaszerbekezds"/>
              <w:numPr>
                <w:ilvl w:val="0"/>
                <w:numId w:val="9"/>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Elektrokardiogramot készít vagy készíttet, azt önállóan értékeli.</w:t>
            </w:r>
          </w:p>
          <w:p w:rsidRPr="00D1004A" w:rsidR="00D847C8" w:rsidP="003252FA" w:rsidRDefault="00D847C8" w14:paraId="2B58EDEE" w14:textId="77777777">
            <w:pPr>
              <w:pStyle w:val="Listaszerbekezds"/>
              <w:numPr>
                <w:ilvl w:val="0"/>
                <w:numId w:val="9"/>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Rendszeresen méri vagy méreti a beteg oxigén-szaturációját, kilégzésvégi széndioxid mennyiségét (EtCO2), artériás vérnyomását, pulzusszámát és pulzuskvalitásait, vércukrát, testének köpeny és maghőmérsékletét.</w:t>
            </w:r>
          </w:p>
          <w:p w:rsidRPr="00D1004A" w:rsidR="00D847C8" w:rsidP="003252FA" w:rsidRDefault="00D847C8" w14:paraId="0DAC833A" w14:textId="77777777">
            <w:pPr>
              <w:pStyle w:val="Listaszerbekezds"/>
              <w:numPr>
                <w:ilvl w:val="0"/>
                <w:numId w:val="9"/>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Önállóan értékeli az artériás vérgáz vizsgálat eredményét, a korrekció szükségességét és annak mértékét.</w:t>
            </w:r>
          </w:p>
          <w:p w:rsidRPr="00D1004A" w:rsidR="00D847C8" w:rsidP="003252FA" w:rsidRDefault="00D847C8" w14:paraId="2E3311A7" w14:textId="77777777">
            <w:pPr>
              <w:pStyle w:val="Listaszerbekezds"/>
              <w:numPr>
                <w:ilvl w:val="0"/>
                <w:numId w:val="9"/>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Meghatározza, meghatároztatja a beteg tudatállapotának változását, az artériás középnyomást, a beteg fájdalmának intenzitását, a bevitt és ürített folyadék mennyiségét.</w:t>
            </w:r>
          </w:p>
          <w:p w:rsidRPr="00D1004A" w:rsidR="00D847C8" w:rsidP="003252FA" w:rsidRDefault="00D847C8" w14:paraId="7838F561" w14:textId="77777777">
            <w:pPr>
              <w:pStyle w:val="Listaszerbekezds"/>
              <w:numPr>
                <w:ilvl w:val="0"/>
                <w:numId w:val="9"/>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A sürgősségi ellátás tárgykörébe tartozó kórfolyamatok zajlásdinamikájába önállóan megválasztott terápiával beavatkozik.</w:t>
            </w:r>
          </w:p>
          <w:p w:rsidRPr="00D1004A" w:rsidR="00D847C8" w:rsidP="003252FA" w:rsidRDefault="00D847C8" w14:paraId="3C2A6F8B" w14:textId="77777777">
            <w:pPr>
              <w:pStyle w:val="Listaszerbekezds"/>
              <w:numPr>
                <w:ilvl w:val="0"/>
                <w:numId w:val="9"/>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Légutat biztosít és tart fenn szupra- és infraglottikus eszközökkel, indokolt esetben konikotómia kivitelezésével.</w:t>
            </w:r>
          </w:p>
          <w:p w:rsidRPr="00D1004A" w:rsidR="00D847C8" w:rsidP="003252FA" w:rsidRDefault="00D847C8" w14:paraId="4305F127" w14:textId="77777777">
            <w:pPr>
              <w:pStyle w:val="Listaszerbekezds"/>
              <w:numPr>
                <w:ilvl w:val="0"/>
                <w:numId w:val="9"/>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Életveszély elhárítása, illetve kialakulásának megakadályozása érdekében a mellüreg és a szívburok detenzionálását elvégzi, mellüregi drenázst és thorakosztómiát végez.</w:t>
            </w:r>
          </w:p>
          <w:p w:rsidRPr="00D1004A" w:rsidR="00D847C8" w:rsidP="003252FA" w:rsidRDefault="00D847C8" w14:paraId="56012DD9" w14:textId="77777777">
            <w:pPr>
              <w:pStyle w:val="Listaszerbekezds"/>
              <w:numPr>
                <w:ilvl w:val="0"/>
                <w:numId w:val="9"/>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Folyadékot, elektrolitot pótol intravénás (perifériás vénás, vagy különösen indokolt esetben centrális vénás) vagy intraosszeális úton.</w:t>
            </w:r>
          </w:p>
          <w:p w:rsidRPr="00D1004A" w:rsidR="00D847C8" w:rsidP="003252FA" w:rsidRDefault="00D847C8" w14:paraId="0648BF05" w14:textId="77777777">
            <w:pPr>
              <w:pStyle w:val="Listaszerbekezds"/>
              <w:numPr>
                <w:ilvl w:val="0"/>
                <w:numId w:val="9"/>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Felismeri a szepszis, súlyos szepszis és szeptikus sokk jeleit, megkezdi a beteg folyadékterápiáját, meningococcaemia gyanújának esetén antibiotikus kezelését, illetve gondoskodik az ellátó team tagjainak antibiotikus profilaxisáról.</w:t>
            </w:r>
          </w:p>
          <w:p w:rsidRPr="00D1004A" w:rsidR="00D847C8" w:rsidP="003252FA" w:rsidRDefault="00D847C8" w14:paraId="2FD4C67C" w14:textId="77777777">
            <w:pPr>
              <w:pStyle w:val="Listaszerbekezds"/>
              <w:numPr>
                <w:ilvl w:val="0"/>
                <w:numId w:val="9"/>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Gyógyszert juttat vagy juttattat a szervezetbe az érvényes szakmai protokolloknak megfelelő enterális és parenterális úton.</w:t>
            </w:r>
          </w:p>
          <w:p w:rsidRPr="00D1004A" w:rsidR="00D847C8" w:rsidP="003252FA" w:rsidRDefault="00D847C8" w14:paraId="10CF4835" w14:textId="77777777">
            <w:pPr>
              <w:pStyle w:val="Listaszerbekezds"/>
              <w:numPr>
                <w:ilvl w:val="0"/>
                <w:numId w:val="9"/>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Fájdalmat csillapít pszichés vezetéssel, gyógyszeresen, hideg, meleg terápiával, az optimális testhelyzet megválasztásával vagy elősegítésével (pozicionálással).</w:t>
            </w:r>
          </w:p>
          <w:p w:rsidRPr="00D1004A" w:rsidR="00D847C8" w:rsidP="003252FA" w:rsidRDefault="00D847C8" w14:paraId="7B11E5D4" w14:textId="77777777">
            <w:pPr>
              <w:pStyle w:val="Listaszerbekezds"/>
              <w:numPr>
                <w:ilvl w:val="0"/>
                <w:numId w:val="9"/>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Kompetenciájának megfelelő fizikális, illetve eszközös vizsgálatot végez, használja az ágymelletti diagnosztikát, értékeli az annak során szerzett adatokat, a prehospitális ellátásban meghatározott kompetenciákat önállóan gyakorolja, a műszakvezető felügyelete mellett meghatározott beavatkozásokat végez, úgymint: intraosszeális út biztosítása, sebellátás, gipsz felhelyezése.</w:t>
            </w:r>
          </w:p>
          <w:p w:rsidRPr="00D1004A" w:rsidR="00D847C8" w:rsidP="003252FA" w:rsidRDefault="00D847C8" w14:paraId="78AAE847" w14:textId="77777777">
            <w:pPr>
              <w:pStyle w:val="Listaszerbekezds"/>
              <w:numPr>
                <w:ilvl w:val="0"/>
                <w:numId w:val="9"/>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A fájdalmat gyógyszeresen, eszközösen csillapítja, a beteget szedálja.</w:t>
            </w:r>
          </w:p>
          <w:p w:rsidRPr="00D1004A" w:rsidR="00D847C8" w:rsidP="003252FA" w:rsidRDefault="00D847C8" w14:paraId="4F9DEC25" w14:textId="77777777">
            <w:pPr>
              <w:pStyle w:val="Listaszerbekezds"/>
              <w:numPr>
                <w:ilvl w:val="0"/>
                <w:numId w:val="9"/>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Vérzést csillapít, végtagot, gerincet rögzít, megkezdi a keringő vérmennyiség optimalizálását, megakadályozza a beteg kihűlését, túlmelegedését, a szöveti véráramlás okozta acidózis kialakulásának minimalizálásával, felhelyezi a sérüléseknek megfelelő kötéseket, gondoskodik az aszepszis és antiszepszis szabályainak betartásáról, továbbá a betegellátó team testi épségéről.</w:t>
            </w:r>
          </w:p>
          <w:p w:rsidRPr="00D1004A" w:rsidR="00D847C8" w:rsidP="003252FA" w:rsidRDefault="00D847C8" w14:paraId="7879271F" w14:textId="77777777">
            <w:pPr>
              <w:pStyle w:val="Listaszerbekezds"/>
              <w:numPr>
                <w:ilvl w:val="0"/>
                <w:numId w:val="9"/>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A sérült testhelyzetét megválasztja.</w:t>
            </w:r>
          </w:p>
          <w:p w:rsidRPr="00D1004A" w:rsidR="00D847C8" w:rsidP="003252FA" w:rsidRDefault="00D847C8" w14:paraId="5ADECEBD" w14:textId="77777777">
            <w:pPr>
              <w:pStyle w:val="Listaszerbekezds"/>
              <w:numPr>
                <w:ilvl w:val="0"/>
                <w:numId w:val="9"/>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Gondoskodik a hatásos fájdalomcsillapításról, a megfelelő folyadékpótlásról.</w:t>
            </w:r>
          </w:p>
          <w:p w:rsidRPr="00D1004A" w:rsidR="00D847C8" w:rsidP="003252FA" w:rsidRDefault="00D847C8" w14:paraId="30AE19E1" w14:textId="77777777">
            <w:pPr>
              <w:pStyle w:val="Listaszerbekezds"/>
              <w:numPr>
                <w:ilvl w:val="0"/>
                <w:numId w:val="9"/>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Katéter segítségével biztosítja a vizelet akadálytalan elvezetését.</w:t>
            </w:r>
          </w:p>
          <w:p w:rsidRPr="00D1004A" w:rsidR="00D847C8" w:rsidP="003252FA" w:rsidRDefault="00D847C8" w14:paraId="222391D3" w14:textId="77777777">
            <w:pPr>
              <w:suppressAutoHyphens/>
              <w:spacing w:after="0" w:line="240" w:lineRule="auto"/>
              <w:jc w:val="both"/>
              <w:rPr>
                <w:rFonts w:ascii="Playfair Display" w:hAnsi="Playfair Display" w:eastAsia="Times New Roman" w:cs="Times New Roman"/>
                <w:b/>
                <w:sz w:val="20"/>
                <w:szCs w:val="20"/>
                <w:lang w:eastAsia="hu-HU"/>
              </w:rPr>
            </w:pPr>
          </w:p>
          <w:p w:rsidRPr="002F4724" w:rsidR="00D847C8" w:rsidP="003252FA" w:rsidRDefault="00D847C8" w14:paraId="499E1143" w14:textId="77777777">
            <w:pPr>
              <w:pStyle w:val="Listaszerbekezds"/>
              <w:numPr>
                <w:ilvl w:val="0"/>
                <w:numId w:val="11"/>
              </w:numPr>
              <w:suppressAutoHyphens/>
              <w:spacing w:after="0" w:line="240" w:lineRule="auto"/>
              <w:jc w:val="both"/>
              <w:rPr>
                <w:rFonts w:ascii="Playfair Display" w:hAnsi="Playfair Display" w:eastAsia="Times New Roman" w:cs="Times New Roman"/>
                <w:b/>
                <w:sz w:val="20"/>
                <w:szCs w:val="20"/>
                <w:lang w:eastAsia="hu-HU"/>
              </w:rPr>
            </w:pPr>
            <w:r w:rsidRPr="002F4724">
              <w:rPr>
                <w:rFonts w:ascii="Playfair Display" w:hAnsi="Playfair Display" w:eastAsia="Times New Roman" w:cs="Times New Roman"/>
                <w:b/>
                <w:sz w:val="20"/>
                <w:szCs w:val="20"/>
                <w:lang w:eastAsia="hu-HU"/>
              </w:rPr>
              <w:t>attitűd</w:t>
            </w:r>
          </w:p>
          <w:p w:rsidRPr="00D1004A" w:rsidR="00D847C8" w:rsidP="003252FA" w:rsidRDefault="00D847C8" w14:paraId="5009075D" w14:textId="77777777">
            <w:pPr>
              <w:pStyle w:val="Listaszerbekezds"/>
              <w:numPr>
                <w:ilvl w:val="0"/>
                <w:numId w:val="8"/>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lastRenderedPageBreak/>
              <w:t>Munkája során betartja az egészségügyi dolgozókra vonatkozó kötelezettségeket, és felismeri felelősségének határait.</w:t>
            </w:r>
          </w:p>
          <w:p w:rsidRPr="00D1004A" w:rsidR="00D847C8" w:rsidP="003252FA" w:rsidRDefault="00D847C8" w14:paraId="056C5454" w14:textId="77777777">
            <w:pPr>
              <w:pStyle w:val="Listaszerbekezds"/>
              <w:numPr>
                <w:ilvl w:val="0"/>
                <w:numId w:val="8"/>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Értékelni tud lehetőségeket, mérlegelni tud kockázatokat, alternatívákat és következményeket, képes kompromisszumos megoldásokra.</w:t>
            </w:r>
          </w:p>
          <w:p w:rsidRPr="00D1004A" w:rsidR="00D847C8" w:rsidP="003252FA" w:rsidRDefault="00D847C8" w14:paraId="27EBD051" w14:textId="77777777">
            <w:pPr>
              <w:pStyle w:val="Listaszerbekezds"/>
              <w:numPr>
                <w:ilvl w:val="0"/>
                <w:numId w:val="8"/>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Azonosul az erőforrások költségtudatos felhasználásával, nyitott az ellátás minőségének javítását célzó változtatásokra.</w:t>
            </w:r>
          </w:p>
          <w:p w:rsidRPr="00D1004A" w:rsidR="00D847C8" w:rsidP="003252FA" w:rsidRDefault="00D847C8" w14:paraId="1CA376F0" w14:textId="77777777">
            <w:pPr>
              <w:pStyle w:val="Listaszerbekezds"/>
              <w:numPr>
                <w:ilvl w:val="0"/>
                <w:numId w:val="8"/>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Nyitott és fogékony az egészség- és orvostudomány tudományosan bizonyított szakmai alapjainak megismerésére és alkalmazására.</w:t>
            </w:r>
          </w:p>
          <w:p w:rsidRPr="00D1004A" w:rsidR="00D847C8" w:rsidP="003252FA" w:rsidRDefault="00D847C8" w14:paraId="4616A1EA" w14:textId="77777777">
            <w:pPr>
              <w:pStyle w:val="Listaszerbekezds"/>
              <w:numPr>
                <w:ilvl w:val="0"/>
                <w:numId w:val="8"/>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Kezdeményezi és elfogadja a csapatszellemű betegellátást, felismeri a kollektív munka értékeit, igényli a döntései kritikáját, törekszik a konzultatív döntéshozatalra.</w:t>
            </w:r>
          </w:p>
          <w:p w:rsidRPr="00D1004A" w:rsidR="00D847C8" w:rsidP="003252FA" w:rsidRDefault="00D847C8" w14:paraId="6D4E67D8" w14:textId="77777777">
            <w:pPr>
              <w:pStyle w:val="Listaszerbekezds"/>
              <w:numPr>
                <w:ilvl w:val="0"/>
                <w:numId w:val="8"/>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Nyitott a szakmai konzultációra, a betegellátókkal kommunikációt kezdeményez, annak eredményét értékeli és nyitott az alternatíva befogadására.</w:t>
            </w:r>
          </w:p>
          <w:p w:rsidRPr="00D1004A" w:rsidR="00D847C8" w:rsidP="003252FA" w:rsidRDefault="00D847C8" w14:paraId="73F2C180" w14:textId="77777777">
            <w:pPr>
              <w:pStyle w:val="Listaszerbekezds"/>
              <w:numPr>
                <w:ilvl w:val="0"/>
                <w:numId w:val="8"/>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Igényli a szakmai fejlődést, nyitott az új tudományos eredmények befogadására, törekszik azok megismerésére.</w:t>
            </w:r>
          </w:p>
          <w:p w:rsidRPr="00D1004A" w:rsidR="00D847C8" w:rsidP="003252FA" w:rsidRDefault="00D847C8" w14:paraId="42F64B67" w14:textId="77777777">
            <w:pPr>
              <w:pStyle w:val="Listaszerbekezds"/>
              <w:numPr>
                <w:ilvl w:val="0"/>
                <w:numId w:val="8"/>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A bajbajutott beteghez empátiával viszonyul, fontosnak tartja a kommunikációt, felismeri a beteg ezirányú szükségleteit és igényét.</w:t>
            </w:r>
          </w:p>
          <w:p w:rsidRPr="00D1004A" w:rsidR="00D847C8" w:rsidP="003252FA" w:rsidRDefault="00D847C8" w14:paraId="7DB78AA7" w14:textId="77777777">
            <w:pPr>
              <w:pStyle w:val="Listaszerbekezds"/>
              <w:numPr>
                <w:ilvl w:val="0"/>
                <w:numId w:val="8"/>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Elkötelezett a minőségi betegellátó tevékenység iránt, saját és kollégái munkáját indokolt esetben, az ennek történő megfelelés érdekében kritikával illeti.</w:t>
            </w:r>
          </w:p>
          <w:p w:rsidRPr="00D1004A" w:rsidR="00D847C8" w:rsidP="003252FA" w:rsidRDefault="00D847C8" w14:paraId="054F1984" w14:textId="77777777">
            <w:pPr>
              <w:pStyle w:val="Listaszerbekezds"/>
              <w:numPr>
                <w:ilvl w:val="0"/>
                <w:numId w:val="8"/>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Vállalja a szakismeretek széles körben történő terjesztését (public notification), az egészségpropagandát, a betegtájékoztatást.</w:t>
            </w:r>
          </w:p>
          <w:p w:rsidRPr="00D1004A" w:rsidR="00D847C8" w:rsidP="003252FA" w:rsidRDefault="00D847C8" w14:paraId="46927F58" w14:textId="77777777">
            <w:pPr>
              <w:suppressAutoHyphens/>
              <w:spacing w:after="0" w:line="240" w:lineRule="auto"/>
              <w:jc w:val="both"/>
              <w:rPr>
                <w:rFonts w:ascii="Playfair Display" w:hAnsi="Playfair Display" w:eastAsia="Times New Roman" w:cs="Times New Roman"/>
                <w:b/>
                <w:sz w:val="20"/>
                <w:szCs w:val="20"/>
                <w:lang w:eastAsia="hu-HU"/>
              </w:rPr>
            </w:pPr>
          </w:p>
          <w:p w:rsidRPr="002F4724" w:rsidR="00D847C8" w:rsidP="003252FA" w:rsidRDefault="00D847C8" w14:paraId="7D2C3B1E" w14:textId="77777777">
            <w:pPr>
              <w:pStyle w:val="Listaszerbekezds"/>
              <w:numPr>
                <w:ilvl w:val="0"/>
                <w:numId w:val="11"/>
              </w:numPr>
              <w:suppressAutoHyphens/>
              <w:spacing w:after="0" w:line="240" w:lineRule="auto"/>
              <w:jc w:val="both"/>
              <w:rPr>
                <w:rFonts w:ascii="Playfair Display" w:hAnsi="Playfair Display" w:eastAsia="Times New Roman" w:cs="Times New Roman"/>
                <w:b/>
                <w:sz w:val="20"/>
                <w:szCs w:val="20"/>
                <w:lang w:eastAsia="hu-HU"/>
              </w:rPr>
            </w:pPr>
            <w:r w:rsidRPr="002F4724">
              <w:rPr>
                <w:rFonts w:ascii="Playfair Display" w:hAnsi="Playfair Display" w:eastAsia="Times New Roman" w:cs="Times New Roman"/>
                <w:b/>
                <w:sz w:val="20"/>
                <w:szCs w:val="20"/>
                <w:lang w:eastAsia="hu-HU"/>
              </w:rPr>
              <w:t>autonómia és felelősség</w:t>
            </w:r>
          </w:p>
          <w:p w:rsidRPr="00D1004A" w:rsidR="00D847C8" w:rsidP="003252FA" w:rsidRDefault="00D847C8" w14:paraId="24E4DA2C" w14:textId="77777777">
            <w:pPr>
              <w:pStyle w:val="Listaszerbekezds"/>
              <w:numPr>
                <w:ilvl w:val="0"/>
                <w:numId w:val="7"/>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Szakmai fejlődésének tudatos és felelős irányítója, hivatását felelősen, tudományos és gyakorlati megalapozottsággal képviseli.</w:t>
            </w:r>
          </w:p>
          <w:p w:rsidRPr="00D1004A" w:rsidR="00D847C8" w:rsidP="003252FA" w:rsidRDefault="00D847C8" w14:paraId="7A928F97" w14:textId="77777777">
            <w:pPr>
              <w:pStyle w:val="Listaszerbekezds"/>
              <w:numPr>
                <w:ilvl w:val="0"/>
                <w:numId w:val="7"/>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Felelősen cselekszik sürgős szükség esetén.</w:t>
            </w:r>
          </w:p>
          <w:p w:rsidRPr="00D1004A" w:rsidR="00D847C8" w:rsidP="003252FA" w:rsidRDefault="00D847C8" w14:paraId="639B8A3E" w14:textId="77777777">
            <w:pPr>
              <w:pStyle w:val="Listaszerbekezds"/>
              <w:numPr>
                <w:ilvl w:val="0"/>
                <w:numId w:val="7"/>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A beteg életét közvetve vagy közvetlenül veszélyeztető kórfolyamatokba, azok felismerését követően késlekedés nélkül önállóan beavatkozik, ennek keretében életmentő beavatkozásokat végez, az életkori sajátosságok figyelembevételével.</w:t>
            </w:r>
          </w:p>
          <w:p w:rsidRPr="00D1004A" w:rsidR="00D847C8" w:rsidP="003252FA" w:rsidRDefault="00D847C8" w14:paraId="61134610" w14:textId="77777777">
            <w:pPr>
              <w:pStyle w:val="Listaszerbekezds"/>
              <w:numPr>
                <w:ilvl w:val="0"/>
                <w:numId w:val="7"/>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Komplex újraélesztést végez, egységvezetőként vezet.</w:t>
            </w:r>
          </w:p>
          <w:p w:rsidRPr="00D1004A" w:rsidR="00D847C8" w:rsidP="003252FA" w:rsidRDefault="00D847C8" w14:paraId="3B73AFFA" w14:textId="77777777">
            <w:pPr>
              <w:pStyle w:val="Listaszerbekezds"/>
              <w:numPr>
                <w:ilvl w:val="0"/>
                <w:numId w:val="7"/>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A sérültet önállóan ellátja, a sérült testtájékot szakszerűen rögzíti, immobilizálja.</w:t>
            </w:r>
          </w:p>
          <w:p w:rsidRPr="00D1004A" w:rsidR="00D847C8" w:rsidP="003252FA" w:rsidRDefault="00D847C8" w14:paraId="6032CD54" w14:textId="77777777">
            <w:pPr>
              <w:pStyle w:val="Listaszerbekezds"/>
              <w:numPr>
                <w:ilvl w:val="0"/>
                <w:numId w:val="7"/>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Az égett beteget önállóan ellátja: meghatározza az égés kiterjedését, súlyosságát.</w:t>
            </w:r>
          </w:p>
          <w:p w:rsidRPr="00D1004A" w:rsidR="00D847C8" w:rsidP="003252FA" w:rsidRDefault="00D847C8" w14:paraId="17FC029C" w14:textId="77777777">
            <w:pPr>
              <w:pStyle w:val="Listaszerbekezds"/>
              <w:numPr>
                <w:ilvl w:val="0"/>
                <w:numId w:val="7"/>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A légúti égést időben felismeri, fennállása esetén a beteget szakszerűen ellátja.</w:t>
            </w:r>
          </w:p>
          <w:p w:rsidRPr="00D1004A" w:rsidR="00D847C8" w:rsidP="003252FA" w:rsidRDefault="00D847C8" w14:paraId="39FCCE26" w14:textId="77777777">
            <w:pPr>
              <w:pStyle w:val="Listaszerbekezds"/>
              <w:numPr>
                <w:ilvl w:val="0"/>
                <w:numId w:val="7"/>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Törekszik az égéssel összefüggő fertőzések és szövődmények megelőzésére.</w:t>
            </w:r>
          </w:p>
          <w:p w:rsidRPr="00D1004A" w:rsidR="00D847C8" w:rsidP="003252FA" w:rsidRDefault="00D847C8" w14:paraId="327D597A" w14:textId="77777777">
            <w:pPr>
              <w:pStyle w:val="Listaszerbekezds"/>
              <w:numPr>
                <w:ilvl w:val="0"/>
                <w:numId w:val="7"/>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Felelős a betegellátó team testi épségének megőrzéséért.</w:t>
            </w:r>
          </w:p>
          <w:p w:rsidRPr="00D1004A" w:rsidR="00D847C8" w:rsidP="003252FA" w:rsidRDefault="00D847C8" w14:paraId="0DDE76B7" w14:textId="77777777">
            <w:pPr>
              <w:pStyle w:val="Listaszerbekezds"/>
              <w:numPr>
                <w:ilvl w:val="0"/>
                <w:numId w:val="7"/>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A helyszíni ellátás keretében önállóan, kórházi körülmények között a műszakvezető szakorvossal együttműködve dönt a beteg kórházi kezelésének szükségességéről, az otthonában szükséges további kezelésről, melyről a beteget részletesen tájékoztatja, az ezt kísérő dokumentációért felelősséget vállal.</w:t>
            </w:r>
          </w:p>
          <w:p w:rsidRPr="00D1004A" w:rsidR="00D847C8" w:rsidP="003252FA" w:rsidRDefault="00D847C8" w14:paraId="2A7CF258" w14:textId="77777777">
            <w:pPr>
              <w:pStyle w:val="Listaszerbekezds"/>
              <w:numPr>
                <w:ilvl w:val="0"/>
                <w:numId w:val="7"/>
              </w:numPr>
              <w:suppressAutoHyphens/>
              <w:spacing w:after="0" w:line="240" w:lineRule="auto"/>
              <w:jc w:val="both"/>
              <w:rPr>
                <w:rFonts w:ascii="Playfair Display" w:hAnsi="Playfair Display" w:eastAsia="Times New Roman" w:cs="Times New Roman"/>
                <w:bCs/>
                <w:sz w:val="20"/>
                <w:szCs w:val="20"/>
                <w:lang w:eastAsia="hu-HU"/>
              </w:rPr>
            </w:pPr>
            <w:r w:rsidRPr="00D1004A">
              <w:rPr>
                <w:rFonts w:ascii="Playfair Display" w:hAnsi="Playfair Display" w:eastAsia="Times New Roman" w:cs="Times New Roman"/>
                <w:bCs/>
                <w:sz w:val="20"/>
                <w:szCs w:val="20"/>
                <w:lang w:eastAsia="hu-HU"/>
              </w:rPr>
              <w:t>Kórházi sürgősségi betegellátóként önállóan képes komplex újraélesztésre csapattagként, csapatvezetőként, észleli és értékeli a betegek vitális paramétereit, a rendelkezésre álló információk alapján azonnali döntéseket hoz.</w:t>
            </w:r>
          </w:p>
          <w:p w:rsidRPr="00D1004A" w:rsidR="00D847C8" w:rsidP="003252FA" w:rsidRDefault="00D847C8" w14:paraId="023406FF" w14:textId="1973B4D5">
            <w:pPr>
              <w:pStyle w:val="Listaszerbekezds"/>
              <w:numPr>
                <w:ilvl w:val="0"/>
                <w:numId w:val="7"/>
              </w:numPr>
              <w:suppressAutoHyphens/>
              <w:spacing w:after="0" w:line="240" w:lineRule="auto"/>
              <w:jc w:val="both"/>
              <w:rPr>
                <w:rFonts w:ascii="Playfair Display" w:hAnsi="Playfair Display" w:eastAsia="Times New Roman" w:cs="Times New Roman"/>
                <w:b/>
                <w:sz w:val="20"/>
                <w:szCs w:val="20"/>
                <w:lang w:eastAsia="hu-HU"/>
              </w:rPr>
            </w:pPr>
            <w:r w:rsidRPr="00D1004A">
              <w:rPr>
                <w:rFonts w:ascii="Playfair Display" w:hAnsi="Playfair Display" w:eastAsia="Times New Roman" w:cs="Times New Roman"/>
                <w:bCs/>
                <w:sz w:val="20"/>
                <w:szCs w:val="20"/>
                <w:lang w:eastAsia="hu-HU"/>
              </w:rPr>
              <w:t>Az intra- és interhospitális transzportot koordinálja, véghezviszi.</w:t>
            </w:r>
          </w:p>
        </w:tc>
      </w:tr>
      <w:tr w:rsidRPr="00EB0B9B" w:rsidR="00D847C8" w:rsidTr="476229D4" w14:paraId="27E3DFB6" w14:textId="77777777">
        <w:trPr>
          <w:trHeight w:val="338"/>
          <w:jc w:val="center"/>
        </w:trPr>
        <w:tc>
          <w:tcPr>
            <w:tcW w:w="8874" w:type="dxa"/>
            <w:gridSpan w:val="3"/>
            <w:shd w:val="clear" w:color="auto" w:fill="auto"/>
            <w:tcMar>
              <w:top w:w="57" w:type="dxa"/>
              <w:bottom w:w="57" w:type="dxa"/>
            </w:tcMar>
          </w:tcPr>
          <w:p w:rsidRPr="00EB0B9B" w:rsidR="00D847C8" w:rsidP="00D847C8" w:rsidRDefault="00D847C8" w14:paraId="28FA5D8E" w14:textId="451D2F19">
            <w:pPr>
              <w:suppressAutoHyphens/>
              <w:jc w:val="both"/>
              <w:rPr>
                <w:rFonts w:ascii="Playfair Display" w:hAnsi="Playfair Display"/>
                <w:b/>
              </w:rPr>
            </w:pPr>
            <w:r w:rsidRPr="00EB0B9B">
              <w:rPr>
                <w:rFonts w:ascii="Playfair Display" w:hAnsi="Playfair Display"/>
                <w:b/>
              </w:rPr>
              <w:lastRenderedPageBreak/>
              <w:t xml:space="preserve">Tantárgy felelőse </w:t>
            </w:r>
            <w:r w:rsidRPr="00EB0B9B">
              <w:rPr>
                <w:rFonts w:ascii="Playfair Display" w:hAnsi="Playfair Display"/>
              </w:rPr>
              <w:t>(</w:t>
            </w:r>
            <w:r w:rsidRPr="00EB0B9B">
              <w:rPr>
                <w:rFonts w:ascii="Playfair Display" w:hAnsi="Playfair Display"/>
                <w:i/>
              </w:rPr>
              <w:t>név, beosztás, tud. fokozat</w:t>
            </w:r>
            <w:r w:rsidRPr="00EB0B9B">
              <w:rPr>
                <w:rFonts w:ascii="Playfair Display" w:hAnsi="Playfair Display"/>
              </w:rPr>
              <w:t>)</w:t>
            </w:r>
            <w:r w:rsidRPr="00EB0B9B">
              <w:rPr>
                <w:rFonts w:ascii="Playfair Display" w:hAnsi="Playfair Display"/>
                <w:b/>
              </w:rPr>
              <w:t>:</w:t>
            </w:r>
          </w:p>
        </w:tc>
      </w:tr>
      <w:tr w:rsidRPr="00EB0B9B" w:rsidR="00D847C8" w:rsidTr="476229D4" w14:paraId="5AD7EF17" w14:textId="77777777">
        <w:trPr>
          <w:trHeight w:val="337"/>
          <w:jc w:val="center"/>
        </w:trPr>
        <w:tc>
          <w:tcPr>
            <w:tcW w:w="8874" w:type="dxa"/>
            <w:gridSpan w:val="3"/>
            <w:shd w:val="clear" w:color="auto" w:fill="auto"/>
            <w:tcMar>
              <w:top w:w="57" w:type="dxa"/>
              <w:bottom w:w="57" w:type="dxa"/>
            </w:tcMar>
          </w:tcPr>
          <w:p w:rsidRPr="000043B5" w:rsidR="00D847C8" w:rsidP="00D847C8" w:rsidRDefault="00D847C8" w14:paraId="6C0A1BC3" w14:textId="77777777">
            <w:pPr>
              <w:suppressAutoHyphens/>
              <w:jc w:val="both"/>
              <w:rPr>
                <w:rFonts w:ascii="Playfair Display" w:hAnsi="Playfair Display"/>
                <w:b/>
              </w:rPr>
            </w:pPr>
            <w:r w:rsidRPr="00EB0B9B">
              <w:rPr>
                <w:rFonts w:ascii="Playfair Display" w:hAnsi="Playfair Display"/>
                <w:b/>
              </w:rPr>
              <w:t xml:space="preserve">Tantárgy oktatásába bevont oktató(k), </w:t>
            </w:r>
            <w:r w:rsidRPr="00EB0B9B">
              <w:rPr>
                <w:rFonts w:ascii="Playfair Display" w:hAnsi="Playfair Display"/>
              </w:rPr>
              <w:t>ha van(nak)</w:t>
            </w:r>
            <w:r w:rsidRPr="00EB0B9B">
              <w:rPr>
                <w:rFonts w:ascii="Playfair Display" w:hAnsi="Playfair Display"/>
                <w:b/>
              </w:rPr>
              <w:t xml:space="preserve"> </w:t>
            </w:r>
            <w:r w:rsidRPr="00EB0B9B">
              <w:rPr>
                <w:rFonts w:ascii="Playfair Display" w:hAnsi="Playfair Display"/>
              </w:rPr>
              <w:t>(</w:t>
            </w:r>
            <w:r w:rsidRPr="00EB0B9B">
              <w:rPr>
                <w:rFonts w:ascii="Playfair Display" w:hAnsi="Playfair Display"/>
                <w:i/>
              </w:rPr>
              <w:t>név, beosztás, tud. fokozat</w:t>
            </w:r>
            <w:r w:rsidRPr="00EB0B9B">
              <w:rPr>
                <w:rFonts w:ascii="Playfair Display" w:hAnsi="Playfair Display"/>
              </w:rPr>
              <w:t>)</w:t>
            </w:r>
            <w:r>
              <w:rPr>
                <w:rFonts w:ascii="Playfair Display" w:hAnsi="Playfair Display"/>
                <w:b/>
              </w:rPr>
              <w:t>:</w:t>
            </w:r>
          </w:p>
        </w:tc>
      </w:tr>
    </w:tbl>
    <w:p w:rsidR="00DE2351" w:rsidP="002D1C93" w:rsidRDefault="00DE2351" w14:paraId="28FC2AE3" w14:textId="77777777">
      <w:pPr>
        <w:spacing w:after="0" w:line="240" w:lineRule="auto"/>
        <w:rPr>
          <w:rFonts w:ascii="Playfair Display" w:hAnsi="Playfair Display" w:eastAsia="Times New Roman" w:cs="Times New Roman"/>
          <w:sz w:val="20"/>
          <w:szCs w:val="20"/>
          <w:lang w:eastAsia="hu-HU"/>
        </w:rPr>
      </w:pPr>
    </w:p>
    <w:sectPr w:rsidR="00DE2351">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5AF8" w:rsidP="00DE2351" w:rsidRDefault="001E5AF8" w14:paraId="12F6538E" w14:textId="77777777">
      <w:pPr>
        <w:spacing w:after="0" w:line="240" w:lineRule="auto"/>
      </w:pPr>
      <w:r>
        <w:separator/>
      </w:r>
    </w:p>
  </w:endnote>
  <w:endnote w:type="continuationSeparator" w:id="0">
    <w:p w:rsidR="001E5AF8" w:rsidP="00DE2351" w:rsidRDefault="001E5AF8" w14:paraId="30A1CB9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layfair Display">
    <w:charset w:val="EE"/>
    <w:family w:val="auto"/>
    <w:pitch w:val="variable"/>
    <w:sig w:usb0="20000207" w:usb1="00000000"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5AF8" w:rsidP="00DE2351" w:rsidRDefault="001E5AF8" w14:paraId="350C0087" w14:textId="77777777">
      <w:pPr>
        <w:spacing w:after="0" w:line="240" w:lineRule="auto"/>
      </w:pPr>
      <w:r>
        <w:separator/>
      </w:r>
    </w:p>
  </w:footnote>
  <w:footnote w:type="continuationSeparator" w:id="0">
    <w:p w:rsidR="001E5AF8" w:rsidP="00DE2351" w:rsidRDefault="001E5AF8" w14:paraId="5EE7F2AE" w14:textId="77777777">
      <w:pPr>
        <w:spacing w:after="0" w:line="240" w:lineRule="auto"/>
      </w:pPr>
      <w:r>
        <w:continuationSeparator/>
      </w:r>
    </w:p>
  </w:footnote>
  <w:footnote w:id="1">
    <w:p w:rsidRPr="00A5216A" w:rsidR="00DE2351" w:rsidP="00DE2351" w:rsidRDefault="00DE2351" w14:paraId="1A077C14" w14:textId="77777777">
      <w:pPr>
        <w:pStyle w:val="Lbjegyzetszveg"/>
        <w:ind w:left="142" w:hanging="142"/>
        <w:rPr>
          <w:sz w:val="4"/>
          <w:szCs w:val="4"/>
        </w:rPr>
      </w:pPr>
    </w:p>
    <w:p w:rsidRPr="0003723C" w:rsidR="00DE2351" w:rsidP="00DE2351" w:rsidRDefault="00DE2351" w14:paraId="2C2FC749" w14:textId="77777777">
      <w:pPr>
        <w:pStyle w:val="Lbjegyzetszveg"/>
        <w:ind w:left="142"/>
      </w:pPr>
      <w:r w:rsidRPr="00CD5314">
        <w:rPr>
          <w:rStyle w:val="Lbjegyzet-hivatkozs"/>
        </w:rPr>
        <w:footnoteRef/>
      </w:r>
      <w:r w:rsidRPr="0003723C">
        <w:t xml:space="preserve"> </w:t>
      </w:r>
      <w:r w:rsidRPr="00576C00">
        <w:rPr>
          <w:b/>
        </w:rPr>
        <w:t>N</w:t>
      </w:r>
      <w:r w:rsidRPr="0003723C">
        <w:rPr>
          <w:b/>
          <w:bCs/>
        </w:rPr>
        <w:t xml:space="preserve">ftv. 108. § </w:t>
      </w:r>
      <w:r w:rsidRPr="0003723C">
        <w:t>37.</w:t>
      </w:r>
      <w:r w:rsidRPr="0003723C">
        <w:rPr>
          <w:i/>
        </w:rPr>
        <w:t xml:space="preserve"> tanóra</w:t>
      </w:r>
      <w:r w:rsidRPr="0003723C">
        <w:t xml:space="preserve">: a tantervben meghatározott tanulmányi követelmények teljesítéséhez az oktató személyes közreműködését igénylő foglalkozás (előadás, szeminárium, gyakorlat, konzultáció), amelynek időtartama legalább negyvenöt, legfeljebb hatvan perc. </w:t>
      </w:r>
    </w:p>
  </w:footnote>
  <w:footnote w:id="2">
    <w:p w:rsidRPr="00CD5314" w:rsidR="00DE2351" w:rsidP="00DE2351" w:rsidRDefault="00DE2351" w14:paraId="3FFD01F4" w14:textId="77777777">
      <w:pPr>
        <w:pStyle w:val="Lbjegyzetszveg"/>
        <w:ind w:left="142"/>
      </w:pPr>
      <w:r w:rsidRPr="00CD5314">
        <w:rPr>
          <w:rStyle w:val="Lbjegyzet-hivatkozs"/>
        </w:rPr>
        <w:footnoteRef/>
      </w:r>
      <w:r w:rsidRPr="00CD5314">
        <w:rPr>
          <w:b/>
        </w:rPr>
        <w:t xml:space="preserve"> </w:t>
      </w:r>
      <w:r w:rsidRPr="00CD5314">
        <w:t>pl. esetismertetések, szerepjáték, tematikus prezentációk stb.</w:t>
      </w:r>
    </w:p>
  </w:footnote>
  <w:footnote w:id="3">
    <w:p w:rsidRPr="00CD5314" w:rsidR="00DE2351" w:rsidP="00DE2351" w:rsidRDefault="00DE2351" w14:paraId="6840BD96" w14:textId="77777777">
      <w:pPr>
        <w:pStyle w:val="Lbjegyzetszveg"/>
        <w:ind w:left="142"/>
      </w:pPr>
      <w:r w:rsidRPr="00CD5314">
        <w:rPr>
          <w:rStyle w:val="Lbjegyzet-hivatkozs"/>
        </w:rPr>
        <w:footnoteRef/>
      </w:r>
      <w:r w:rsidRPr="00CD5314">
        <w:t xml:space="preserve"> pl. folyamatos számonkérés, évközi beszámoló</w:t>
      </w:r>
    </w:p>
  </w:footnote>
  <w:footnote w:id="4">
    <w:p w:rsidRPr="00CD5314" w:rsidR="00DE2351" w:rsidP="00DE2351" w:rsidRDefault="00DE2351" w14:paraId="16B61C6E" w14:textId="77777777">
      <w:pPr>
        <w:pStyle w:val="Lbjegyzetszveg"/>
        <w:ind w:left="142"/>
      </w:pPr>
      <w:r w:rsidRPr="00CD5314">
        <w:rPr>
          <w:rStyle w:val="Lbjegyzet-hivatkozs"/>
        </w:rPr>
        <w:footnoteRef/>
      </w:r>
      <w:r w:rsidRPr="00CD5314">
        <w:t xml:space="preserve"> pl. esettanulmányok, témakidolgozások, dolgozatok, esszék, üzleti, szervezési tervek stb. bekérése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55B"/>
    <w:multiLevelType w:val="hybridMultilevel"/>
    <w:tmpl w:val="7D129980"/>
    <w:lvl w:ilvl="0" w:tplc="A8E01120">
      <w:start w:val="1"/>
      <w:numFmt w:val="decimal"/>
      <w:lvlText w:val="%1."/>
      <w:lvlJc w:val="left"/>
      <w:pPr>
        <w:ind w:left="1070" w:hanging="71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76305C1"/>
    <w:multiLevelType w:val="hybridMultilevel"/>
    <w:tmpl w:val="B4A8FF72"/>
    <w:lvl w:ilvl="0" w:tplc="11E257D6">
      <w:start w:val="1"/>
      <w:numFmt w:val="bullet"/>
      <w:lvlText w:val="-"/>
      <w:lvlJc w:val="left"/>
      <w:pPr>
        <w:ind w:left="720" w:hanging="360"/>
      </w:pPr>
      <w:rPr>
        <w:rFonts w:hint="default" w:ascii="Courier New" w:hAnsi="Courier New"/>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2" w15:restartNumberingAfterBreak="0">
    <w:nsid w:val="0EC66696"/>
    <w:multiLevelType w:val="hybridMultilevel"/>
    <w:tmpl w:val="D1320AA0"/>
    <w:lvl w:ilvl="0" w:tplc="B66A9320">
      <w:start w:val="1"/>
      <w:numFmt w:val="bullet"/>
      <w:lvlText w:val=""/>
      <w:lvlJc w:val="left"/>
      <w:pPr>
        <w:tabs>
          <w:tab w:val="num" w:pos="360"/>
        </w:tabs>
        <w:ind w:left="360" w:hanging="360"/>
      </w:pPr>
      <w:rPr>
        <w:rFonts w:hint="default" w:ascii="Symbol" w:hAnsi="Symbol"/>
      </w:rPr>
    </w:lvl>
    <w:lvl w:ilvl="1" w:tplc="040E0003" w:tentative="1">
      <w:start w:val="1"/>
      <w:numFmt w:val="bullet"/>
      <w:lvlText w:val="o"/>
      <w:lvlJc w:val="left"/>
      <w:pPr>
        <w:tabs>
          <w:tab w:val="num" w:pos="1080"/>
        </w:tabs>
        <w:ind w:left="1080" w:hanging="360"/>
      </w:pPr>
      <w:rPr>
        <w:rFonts w:hint="default" w:ascii="Courier New" w:hAnsi="Courier New" w:cs="Courier New"/>
      </w:rPr>
    </w:lvl>
    <w:lvl w:ilvl="2" w:tplc="040E0005" w:tentative="1">
      <w:start w:val="1"/>
      <w:numFmt w:val="bullet"/>
      <w:lvlText w:val=""/>
      <w:lvlJc w:val="left"/>
      <w:pPr>
        <w:tabs>
          <w:tab w:val="num" w:pos="1800"/>
        </w:tabs>
        <w:ind w:left="1800" w:hanging="360"/>
      </w:pPr>
      <w:rPr>
        <w:rFonts w:hint="default" w:ascii="Wingdings" w:hAnsi="Wingdings"/>
      </w:rPr>
    </w:lvl>
    <w:lvl w:ilvl="3" w:tplc="040E0001" w:tentative="1">
      <w:start w:val="1"/>
      <w:numFmt w:val="bullet"/>
      <w:lvlText w:val=""/>
      <w:lvlJc w:val="left"/>
      <w:pPr>
        <w:tabs>
          <w:tab w:val="num" w:pos="2520"/>
        </w:tabs>
        <w:ind w:left="2520" w:hanging="360"/>
      </w:pPr>
      <w:rPr>
        <w:rFonts w:hint="default" w:ascii="Symbol" w:hAnsi="Symbol"/>
      </w:rPr>
    </w:lvl>
    <w:lvl w:ilvl="4" w:tplc="040E0003" w:tentative="1">
      <w:start w:val="1"/>
      <w:numFmt w:val="bullet"/>
      <w:lvlText w:val="o"/>
      <w:lvlJc w:val="left"/>
      <w:pPr>
        <w:tabs>
          <w:tab w:val="num" w:pos="3240"/>
        </w:tabs>
        <w:ind w:left="3240" w:hanging="360"/>
      </w:pPr>
      <w:rPr>
        <w:rFonts w:hint="default" w:ascii="Courier New" w:hAnsi="Courier New" w:cs="Courier New"/>
      </w:rPr>
    </w:lvl>
    <w:lvl w:ilvl="5" w:tplc="040E0005" w:tentative="1">
      <w:start w:val="1"/>
      <w:numFmt w:val="bullet"/>
      <w:lvlText w:val=""/>
      <w:lvlJc w:val="left"/>
      <w:pPr>
        <w:tabs>
          <w:tab w:val="num" w:pos="3960"/>
        </w:tabs>
        <w:ind w:left="3960" w:hanging="360"/>
      </w:pPr>
      <w:rPr>
        <w:rFonts w:hint="default" w:ascii="Wingdings" w:hAnsi="Wingdings"/>
      </w:rPr>
    </w:lvl>
    <w:lvl w:ilvl="6" w:tplc="040E0001" w:tentative="1">
      <w:start w:val="1"/>
      <w:numFmt w:val="bullet"/>
      <w:lvlText w:val=""/>
      <w:lvlJc w:val="left"/>
      <w:pPr>
        <w:tabs>
          <w:tab w:val="num" w:pos="4680"/>
        </w:tabs>
        <w:ind w:left="4680" w:hanging="360"/>
      </w:pPr>
      <w:rPr>
        <w:rFonts w:hint="default" w:ascii="Symbol" w:hAnsi="Symbol"/>
      </w:rPr>
    </w:lvl>
    <w:lvl w:ilvl="7" w:tplc="040E0003" w:tentative="1">
      <w:start w:val="1"/>
      <w:numFmt w:val="bullet"/>
      <w:lvlText w:val="o"/>
      <w:lvlJc w:val="left"/>
      <w:pPr>
        <w:tabs>
          <w:tab w:val="num" w:pos="5400"/>
        </w:tabs>
        <w:ind w:left="5400" w:hanging="360"/>
      </w:pPr>
      <w:rPr>
        <w:rFonts w:hint="default" w:ascii="Courier New" w:hAnsi="Courier New" w:cs="Courier New"/>
      </w:rPr>
    </w:lvl>
    <w:lvl w:ilvl="8" w:tplc="040E0005" w:tentative="1">
      <w:start w:val="1"/>
      <w:numFmt w:val="bullet"/>
      <w:lvlText w:val=""/>
      <w:lvlJc w:val="left"/>
      <w:pPr>
        <w:tabs>
          <w:tab w:val="num" w:pos="6120"/>
        </w:tabs>
        <w:ind w:left="6120" w:hanging="360"/>
      </w:pPr>
      <w:rPr>
        <w:rFonts w:hint="default" w:ascii="Wingdings" w:hAnsi="Wingdings"/>
      </w:rPr>
    </w:lvl>
  </w:abstractNum>
  <w:abstractNum w:abstractNumId="3" w15:restartNumberingAfterBreak="0">
    <w:nsid w:val="29734B51"/>
    <w:multiLevelType w:val="hybridMultilevel"/>
    <w:tmpl w:val="9EBE7190"/>
    <w:lvl w:ilvl="0" w:tplc="B66A9320">
      <w:start w:val="1"/>
      <w:numFmt w:val="bullet"/>
      <w:lvlText w:val=""/>
      <w:lvlJc w:val="left"/>
      <w:pPr>
        <w:tabs>
          <w:tab w:val="num" w:pos="360"/>
        </w:tabs>
        <w:ind w:left="360" w:hanging="360"/>
      </w:pPr>
      <w:rPr>
        <w:rFonts w:hint="default" w:ascii="Symbol" w:hAnsi="Symbol"/>
      </w:rPr>
    </w:lvl>
    <w:lvl w:ilvl="1" w:tplc="040E0003" w:tentative="1">
      <w:start w:val="1"/>
      <w:numFmt w:val="bullet"/>
      <w:lvlText w:val="o"/>
      <w:lvlJc w:val="left"/>
      <w:pPr>
        <w:tabs>
          <w:tab w:val="num" w:pos="1080"/>
        </w:tabs>
        <w:ind w:left="1080" w:hanging="360"/>
      </w:pPr>
      <w:rPr>
        <w:rFonts w:hint="default" w:ascii="Courier New" w:hAnsi="Courier New" w:cs="Courier New"/>
      </w:rPr>
    </w:lvl>
    <w:lvl w:ilvl="2" w:tplc="040E0005" w:tentative="1">
      <w:start w:val="1"/>
      <w:numFmt w:val="bullet"/>
      <w:lvlText w:val=""/>
      <w:lvlJc w:val="left"/>
      <w:pPr>
        <w:tabs>
          <w:tab w:val="num" w:pos="1800"/>
        </w:tabs>
        <w:ind w:left="1800" w:hanging="360"/>
      </w:pPr>
      <w:rPr>
        <w:rFonts w:hint="default" w:ascii="Wingdings" w:hAnsi="Wingdings"/>
      </w:rPr>
    </w:lvl>
    <w:lvl w:ilvl="3" w:tplc="040E0001" w:tentative="1">
      <w:start w:val="1"/>
      <w:numFmt w:val="bullet"/>
      <w:lvlText w:val=""/>
      <w:lvlJc w:val="left"/>
      <w:pPr>
        <w:tabs>
          <w:tab w:val="num" w:pos="2520"/>
        </w:tabs>
        <w:ind w:left="2520" w:hanging="360"/>
      </w:pPr>
      <w:rPr>
        <w:rFonts w:hint="default" w:ascii="Symbol" w:hAnsi="Symbol"/>
      </w:rPr>
    </w:lvl>
    <w:lvl w:ilvl="4" w:tplc="040E0003" w:tentative="1">
      <w:start w:val="1"/>
      <w:numFmt w:val="bullet"/>
      <w:lvlText w:val="o"/>
      <w:lvlJc w:val="left"/>
      <w:pPr>
        <w:tabs>
          <w:tab w:val="num" w:pos="3240"/>
        </w:tabs>
        <w:ind w:left="3240" w:hanging="360"/>
      </w:pPr>
      <w:rPr>
        <w:rFonts w:hint="default" w:ascii="Courier New" w:hAnsi="Courier New" w:cs="Courier New"/>
      </w:rPr>
    </w:lvl>
    <w:lvl w:ilvl="5" w:tplc="040E0005" w:tentative="1">
      <w:start w:val="1"/>
      <w:numFmt w:val="bullet"/>
      <w:lvlText w:val=""/>
      <w:lvlJc w:val="left"/>
      <w:pPr>
        <w:tabs>
          <w:tab w:val="num" w:pos="3960"/>
        </w:tabs>
        <w:ind w:left="3960" w:hanging="360"/>
      </w:pPr>
      <w:rPr>
        <w:rFonts w:hint="default" w:ascii="Wingdings" w:hAnsi="Wingdings"/>
      </w:rPr>
    </w:lvl>
    <w:lvl w:ilvl="6" w:tplc="040E0001" w:tentative="1">
      <w:start w:val="1"/>
      <w:numFmt w:val="bullet"/>
      <w:lvlText w:val=""/>
      <w:lvlJc w:val="left"/>
      <w:pPr>
        <w:tabs>
          <w:tab w:val="num" w:pos="4680"/>
        </w:tabs>
        <w:ind w:left="4680" w:hanging="360"/>
      </w:pPr>
      <w:rPr>
        <w:rFonts w:hint="default" w:ascii="Symbol" w:hAnsi="Symbol"/>
      </w:rPr>
    </w:lvl>
    <w:lvl w:ilvl="7" w:tplc="040E0003" w:tentative="1">
      <w:start w:val="1"/>
      <w:numFmt w:val="bullet"/>
      <w:lvlText w:val="o"/>
      <w:lvlJc w:val="left"/>
      <w:pPr>
        <w:tabs>
          <w:tab w:val="num" w:pos="5400"/>
        </w:tabs>
        <w:ind w:left="5400" w:hanging="360"/>
      </w:pPr>
      <w:rPr>
        <w:rFonts w:hint="default" w:ascii="Courier New" w:hAnsi="Courier New" w:cs="Courier New"/>
      </w:rPr>
    </w:lvl>
    <w:lvl w:ilvl="8" w:tplc="040E0005" w:tentative="1">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39290845"/>
    <w:multiLevelType w:val="hybridMultilevel"/>
    <w:tmpl w:val="025A9B56"/>
    <w:lvl w:ilvl="0" w:tplc="0254C202">
      <w:start w:val="1"/>
      <w:numFmt w:val="bullet"/>
      <w:lvlText w:val="-"/>
      <w:lvlJc w:val="left"/>
      <w:pPr>
        <w:ind w:left="720" w:hanging="360"/>
      </w:pPr>
      <w:rPr>
        <w:rFonts w:hint="default" w:ascii="Times New Roman" w:hAnsi="Times New Roman" w:cs="Times New Roman"/>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5" w15:restartNumberingAfterBreak="0">
    <w:nsid w:val="47F96927"/>
    <w:multiLevelType w:val="hybridMultilevel"/>
    <w:tmpl w:val="6C5A2E70"/>
    <w:lvl w:ilvl="0" w:tplc="2E5CF0EE">
      <w:start w:val="3"/>
      <w:numFmt w:val="lowerLetter"/>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6" w15:restartNumberingAfterBreak="0">
    <w:nsid w:val="48121826"/>
    <w:multiLevelType w:val="hybridMultilevel"/>
    <w:tmpl w:val="9EB621C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9145008"/>
    <w:multiLevelType w:val="hybridMultilevel"/>
    <w:tmpl w:val="1062FA62"/>
    <w:lvl w:ilvl="0" w:tplc="11E257D6">
      <w:start w:val="1"/>
      <w:numFmt w:val="bullet"/>
      <w:lvlText w:val="-"/>
      <w:lvlJc w:val="left"/>
      <w:pPr>
        <w:ind w:left="720" w:hanging="360"/>
      </w:pPr>
      <w:rPr>
        <w:rFonts w:hint="default" w:ascii="Courier New" w:hAnsi="Courier New"/>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8" w15:restartNumberingAfterBreak="0">
    <w:nsid w:val="5C5E5EA9"/>
    <w:multiLevelType w:val="hybridMultilevel"/>
    <w:tmpl w:val="5DDADA4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EEC502F"/>
    <w:multiLevelType w:val="hybridMultilevel"/>
    <w:tmpl w:val="DF2A0800"/>
    <w:lvl w:ilvl="0" w:tplc="11E257D6">
      <w:start w:val="1"/>
      <w:numFmt w:val="bullet"/>
      <w:lvlText w:val="-"/>
      <w:lvlJc w:val="left"/>
      <w:pPr>
        <w:ind w:left="720" w:hanging="360"/>
      </w:pPr>
      <w:rPr>
        <w:rFonts w:hint="default" w:ascii="Courier New" w:hAnsi="Courier New"/>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10" w15:restartNumberingAfterBreak="0">
    <w:nsid w:val="60AF702D"/>
    <w:multiLevelType w:val="hybridMultilevel"/>
    <w:tmpl w:val="0328884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16D582F"/>
    <w:multiLevelType w:val="hybridMultilevel"/>
    <w:tmpl w:val="7C0E99AC"/>
    <w:lvl w:ilvl="0" w:tplc="11E257D6">
      <w:start w:val="1"/>
      <w:numFmt w:val="bullet"/>
      <w:lvlText w:val="-"/>
      <w:lvlJc w:val="left"/>
      <w:pPr>
        <w:ind w:left="720" w:hanging="360"/>
      </w:pPr>
      <w:rPr>
        <w:rFonts w:hint="default" w:ascii="Courier New" w:hAnsi="Courier New"/>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num w:numId="1" w16cid:durableId="884877752">
    <w:abstractNumId w:val="5"/>
  </w:num>
  <w:num w:numId="2" w16cid:durableId="656766772">
    <w:abstractNumId w:val="4"/>
  </w:num>
  <w:num w:numId="3" w16cid:durableId="1746226548">
    <w:abstractNumId w:val="3"/>
  </w:num>
  <w:num w:numId="4" w16cid:durableId="1167748491">
    <w:abstractNumId w:val="2"/>
  </w:num>
  <w:num w:numId="5" w16cid:durableId="1098987816">
    <w:abstractNumId w:val="10"/>
  </w:num>
  <w:num w:numId="6" w16cid:durableId="513736889">
    <w:abstractNumId w:val="0"/>
  </w:num>
  <w:num w:numId="7" w16cid:durableId="855769959">
    <w:abstractNumId w:val="11"/>
  </w:num>
  <w:num w:numId="8" w16cid:durableId="1085225856">
    <w:abstractNumId w:val="9"/>
  </w:num>
  <w:num w:numId="9" w16cid:durableId="326129724">
    <w:abstractNumId w:val="7"/>
  </w:num>
  <w:num w:numId="10" w16cid:durableId="2113091694">
    <w:abstractNumId w:val="1"/>
  </w:num>
  <w:num w:numId="11" w16cid:durableId="378865480">
    <w:abstractNumId w:val="6"/>
  </w:num>
  <w:num w:numId="12" w16cid:durableId="10462168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351"/>
    <w:rsid w:val="000034B0"/>
    <w:rsid w:val="0007452A"/>
    <w:rsid w:val="00077463"/>
    <w:rsid w:val="000960C0"/>
    <w:rsid w:val="000C19F8"/>
    <w:rsid w:val="000E715B"/>
    <w:rsid w:val="001005EC"/>
    <w:rsid w:val="0010522E"/>
    <w:rsid w:val="001E5AF8"/>
    <w:rsid w:val="00203CDC"/>
    <w:rsid w:val="00284F56"/>
    <w:rsid w:val="00297B71"/>
    <w:rsid w:val="002C0CD2"/>
    <w:rsid w:val="002D1C93"/>
    <w:rsid w:val="002D3E0C"/>
    <w:rsid w:val="002D636B"/>
    <w:rsid w:val="002F4724"/>
    <w:rsid w:val="003252FA"/>
    <w:rsid w:val="003C6EEF"/>
    <w:rsid w:val="003D0146"/>
    <w:rsid w:val="00413742"/>
    <w:rsid w:val="00422115"/>
    <w:rsid w:val="004314B3"/>
    <w:rsid w:val="00457BAC"/>
    <w:rsid w:val="00472355"/>
    <w:rsid w:val="004D78A6"/>
    <w:rsid w:val="004F3762"/>
    <w:rsid w:val="004F6D64"/>
    <w:rsid w:val="00515598"/>
    <w:rsid w:val="00557C8F"/>
    <w:rsid w:val="0058395E"/>
    <w:rsid w:val="00586BBE"/>
    <w:rsid w:val="005C0B96"/>
    <w:rsid w:val="0060038D"/>
    <w:rsid w:val="00611F23"/>
    <w:rsid w:val="00696AF3"/>
    <w:rsid w:val="006D312D"/>
    <w:rsid w:val="00715A53"/>
    <w:rsid w:val="00722867"/>
    <w:rsid w:val="0072660B"/>
    <w:rsid w:val="0074049F"/>
    <w:rsid w:val="007641B2"/>
    <w:rsid w:val="00802634"/>
    <w:rsid w:val="00811DA8"/>
    <w:rsid w:val="00822E4B"/>
    <w:rsid w:val="00854F2C"/>
    <w:rsid w:val="00885E05"/>
    <w:rsid w:val="008B680E"/>
    <w:rsid w:val="008C150A"/>
    <w:rsid w:val="008E1143"/>
    <w:rsid w:val="008F028F"/>
    <w:rsid w:val="0090578B"/>
    <w:rsid w:val="00907B82"/>
    <w:rsid w:val="00992A96"/>
    <w:rsid w:val="00A44F04"/>
    <w:rsid w:val="00A63834"/>
    <w:rsid w:val="00AB021D"/>
    <w:rsid w:val="00AC650C"/>
    <w:rsid w:val="00AD6024"/>
    <w:rsid w:val="00AE650B"/>
    <w:rsid w:val="00BC5C9A"/>
    <w:rsid w:val="00BD4EAE"/>
    <w:rsid w:val="00BF4E70"/>
    <w:rsid w:val="00BF6F8C"/>
    <w:rsid w:val="00C206AD"/>
    <w:rsid w:val="00C46CB6"/>
    <w:rsid w:val="00C52A8F"/>
    <w:rsid w:val="00C814C4"/>
    <w:rsid w:val="00CE5184"/>
    <w:rsid w:val="00D1004A"/>
    <w:rsid w:val="00D27FE5"/>
    <w:rsid w:val="00D66ED7"/>
    <w:rsid w:val="00D847C8"/>
    <w:rsid w:val="00DE2351"/>
    <w:rsid w:val="00E319EA"/>
    <w:rsid w:val="00E86B71"/>
    <w:rsid w:val="00EF4ED3"/>
    <w:rsid w:val="00F22D92"/>
    <w:rsid w:val="00F263BC"/>
    <w:rsid w:val="00F3325F"/>
    <w:rsid w:val="00F42F2F"/>
    <w:rsid w:val="00F540DF"/>
    <w:rsid w:val="476229D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425E9"/>
  <w15:chartTrackingRefBased/>
  <w15:docId w15:val="{51A04819-D25A-411A-84DE-6BBFA557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 w:default="1">
    <w:name w:val="Normal"/>
    <w:qFormat/>
    <w:rsid w:val="00DE2351"/>
  </w:style>
  <w:style w:type="character" w:styleId="Bekezdsalapbettpusa" w:default="1">
    <w:name w:val="Default Paragraph Font"/>
    <w:uiPriority w:val="1"/>
    <w:semiHidden/>
    <w:unhideWhenUsed/>
  </w:style>
  <w:style w:type="table" w:styleId="Normltblzat" w:default="1">
    <w:name w:val="Normal Table"/>
    <w:uiPriority w:val="99"/>
    <w:semiHidden/>
    <w:unhideWhenUsed/>
    <w:tblPr>
      <w:tblInd w:w="0" w:type="dxa"/>
      <w:tblCellMar>
        <w:top w:w="0" w:type="dxa"/>
        <w:left w:w="108" w:type="dxa"/>
        <w:bottom w:w="0" w:type="dxa"/>
        <w:right w:w="108" w:type="dxa"/>
      </w:tblCellMar>
    </w:tblPr>
  </w:style>
  <w:style w:type="numbering" w:styleId="Nemlista" w:default="1">
    <w:name w:val="No List"/>
    <w:uiPriority w:val="99"/>
    <w:semiHidden/>
    <w:unhideWhenUsed/>
  </w:style>
  <w:style w:type="character" w:styleId="Lbjegyzet-hivatkozs">
    <w:name w:val="footnote reference"/>
    <w:semiHidden/>
    <w:qFormat/>
    <w:rsid w:val="00DE2351"/>
    <w:rPr>
      <w:vertAlign w:val="superscript"/>
    </w:rPr>
  </w:style>
  <w:style w:type="paragraph" w:styleId="Lbjegyzetszveg">
    <w:name w:val="footnote text"/>
    <w:basedOn w:val="Norml"/>
    <w:link w:val="LbjegyzetszvegChar"/>
    <w:rsid w:val="00DE2351"/>
    <w:pPr>
      <w:spacing w:after="0" w:line="240" w:lineRule="auto"/>
    </w:pPr>
    <w:rPr>
      <w:rFonts w:ascii="Times New Roman" w:hAnsi="Times New Roman" w:eastAsia="Times New Roman" w:cs="Times New Roman"/>
      <w:sz w:val="20"/>
      <w:szCs w:val="20"/>
      <w:lang w:eastAsia="hu-HU"/>
    </w:rPr>
  </w:style>
  <w:style w:type="character" w:styleId="LbjegyzetszvegChar" w:customStyle="1">
    <w:name w:val="Lábjegyzetszöveg Char"/>
    <w:basedOn w:val="Bekezdsalapbettpusa"/>
    <w:link w:val="Lbjegyzetszveg"/>
    <w:qFormat/>
    <w:rsid w:val="00DE2351"/>
    <w:rPr>
      <w:rFonts w:ascii="Times New Roman" w:hAnsi="Times New Roman" w:eastAsia="Times New Roman" w:cs="Times New Roman"/>
      <w:sz w:val="20"/>
      <w:szCs w:val="20"/>
      <w:lang w:eastAsia="hu-HU"/>
    </w:rPr>
  </w:style>
  <w:style w:type="paragraph" w:styleId="Listaszerbekezds">
    <w:name w:val="List Paragraph"/>
    <w:basedOn w:val="Norml"/>
    <w:uiPriority w:val="34"/>
    <w:qFormat/>
    <w:rsid w:val="00DE2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um" ma:contentTypeID="0x0101000E5A6B0BA514EA4F98403700DDADA047" ma:contentTypeVersion="6" ma:contentTypeDescription="Új dokumentum létrehozása." ma:contentTypeScope="" ma:versionID="884368dcebfa0f333aa511de3a0cb33b">
  <xsd:schema xmlns:xsd="http://www.w3.org/2001/XMLSchema" xmlns:xs="http://www.w3.org/2001/XMLSchema" xmlns:p="http://schemas.microsoft.com/office/2006/metadata/properties" xmlns:ns2="ee07009c-5488-4aff-8486-0b94510f761d" xmlns:ns3="b761715a-0dc4-48ed-9f92-d7fc2adbcd10" targetNamespace="http://schemas.microsoft.com/office/2006/metadata/properties" ma:root="true" ma:fieldsID="e4b7708dd9e7b6255c36cc109284d7d3" ns2:_="" ns3:_="">
    <xsd:import namespace="ee07009c-5488-4aff-8486-0b94510f761d"/>
    <xsd:import namespace="b761715a-0dc4-48ed-9f92-d7fc2adbcd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7009c-5488-4aff-8486-0b94510f7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61715a-0dc4-48ed-9f92-d7fc2adbcd10" elementFormDefault="qualified">
    <xsd:import namespace="http://schemas.microsoft.com/office/2006/documentManagement/types"/>
    <xsd:import namespace="http://schemas.microsoft.com/office/infopath/2007/PartnerControls"/>
    <xsd:element name="SharedWithUsers" ma:index="12"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05211A-5D46-4A1B-93B6-8E3162B3E4C0}">
  <ds:schemaRefs>
    <ds:schemaRef ds:uri="http://schemas.microsoft.com/sharepoint/v3/contenttype/forms"/>
  </ds:schemaRefs>
</ds:datastoreItem>
</file>

<file path=customXml/itemProps2.xml><?xml version="1.0" encoding="utf-8"?>
<ds:datastoreItem xmlns:ds="http://schemas.openxmlformats.org/officeDocument/2006/customXml" ds:itemID="{A55BB072-AFF7-4E31-8823-64ECEFBA2216}">
  <ds:schemaRefs>
    <ds:schemaRef ds:uri="http://schemas.openxmlformats.org/officeDocument/2006/bibliography"/>
  </ds:schemaRefs>
</ds:datastoreItem>
</file>

<file path=customXml/itemProps3.xml><?xml version="1.0" encoding="utf-8"?>
<ds:datastoreItem xmlns:ds="http://schemas.openxmlformats.org/officeDocument/2006/customXml" ds:itemID="{768FB30F-F134-4853-98A1-1A073A08E24A}">
  <ds:schemaRefs>
    <ds:schemaRef ds:uri="http://schemas.microsoft.com/office/2006/metadata/properties"/>
    <ds:schemaRef ds:uri="http://schemas.microsoft.com/office/infopath/2007/PartnerControls"/>
    <ds:schemaRef ds:uri="ed487125-6329-4991-b5f3-753eb9803dbb"/>
    <ds:schemaRef ds:uri="d4b14625-c4e4-4953-bfea-b57e488ae3dd"/>
  </ds:schemaRefs>
</ds:datastoreItem>
</file>

<file path=customXml/itemProps4.xml><?xml version="1.0" encoding="utf-8"?>
<ds:datastoreItem xmlns:ds="http://schemas.openxmlformats.org/officeDocument/2006/customXml" ds:itemID="{CECF14A6-D1D8-4E8F-9778-5B90DA6343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Kungl Anikó</dc:creator>
  <cp:keywords/>
  <dc:description/>
  <cp:lastModifiedBy>Kissné Horváth Ágnes</cp:lastModifiedBy>
  <cp:revision>3</cp:revision>
  <dcterms:created xsi:type="dcterms:W3CDTF">2023-10-26T11:52:00Z</dcterms:created>
  <dcterms:modified xsi:type="dcterms:W3CDTF">2024-03-08T07:46:04Z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0x0101000E5A6B0BA514EA4F98403700DDADA047</vt:lpwstr>
  </property>
  <property fmtid="{D5CDD505-2E9C-101B-9397-08002B2CF9AE}" pid="3" name="MediaServiceImageTags">
    <vt:lpwstr/>
  </property>
  <property fmtid="{D5CDD505-2E9C-101B-9397-08002B2CF9AE}" pid="4" name="Order">
    <vt:r8>319200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