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5288"/>
        <w:gridCol w:w="2140"/>
      </w:tblGrid>
      <w:tr w:rsidR="00DE2351" w:rsidRPr="00167591" w14:paraId="5B5EC66B" w14:textId="77777777" w:rsidTr="00892DE0">
        <w:trPr>
          <w:jc w:val="center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5FAC4539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neve: </w:t>
            </w:r>
            <w:r w:rsidR="00D05C44">
              <w:rPr>
                <w:rFonts w:ascii="Times New Roman" w:eastAsia="Times New Roman" w:hAnsi="Times New Roman" w:cs="Times New Roman"/>
                <w:b/>
                <w:lang w:eastAsia="hu-HU"/>
              </w:rPr>
              <w:t>PREHOSPITÁLIS ÉS KLINIKAI ISMERETEK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68599D5D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</w:t>
            </w:r>
            <w:r w:rsidR="00F540DF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05C44">
              <w:rPr>
                <w:rFonts w:ascii="Times New Roman" w:eastAsia="Times New Roman" w:hAnsi="Times New Roman" w:cs="Times New Roman"/>
                <w:b/>
                <w:lang w:eastAsia="hu-HU"/>
              </w:rPr>
              <w:t>3</w:t>
            </w:r>
          </w:p>
        </w:tc>
      </w:tr>
      <w:tr w:rsidR="00DE2351" w:rsidRPr="00167591" w14:paraId="3272921F" w14:textId="77777777" w:rsidTr="00167591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675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kötelező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/ választható</w:t>
            </w:r>
          </w:p>
        </w:tc>
      </w:tr>
      <w:tr w:rsidR="00DE2351" w:rsidRPr="00167591" w14:paraId="259D834E" w14:textId="77777777" w:rsidTr="00167591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0C1E8F67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167591">
              <w:rPr>
                <w:rFonts w:ascii="Times New Roman" w:eastAsia="Times New Roman" w:hAnsi="Times New Roman" w:cs="Times New Roman"/>
                <w:b/>
                <w:bdr w:val="dotted" w:sz="4" w:space="0" w:color="auto"/>
                <w:vertAlign w:val="superscript"/>
                <w:lang w:eastAsia="hu-HU"/>
              </w:rPr>
              <w:t>12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114316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%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(kredit%)</w:t>
            </w:r>
          </w:p>
        </w:tc>
      </w:tr>
      <w:tr w:rsidR="00DE2351" w:rsidRPr="00167591" w14:paraId="21189110" w14:textId="77777777" w:rsidTr="00167591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5B72D02" w:rsidR="00DE2351" w:rsidRPr="009C732E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tanóra</w:t>
            </w:r>
            <w:r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1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típusa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9C732E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ea.</w:t>
            </w: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/ 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zem. /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gyak.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/ konz. és 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óraszáma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47AF09D2" w14:textId="4B489F9B" w:rsidR="00DE2351" w:rsidRPr="00167591" w:rsidRDefault="009C732E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14 óra előadás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és </w:t>
            </w:r>
            <w:r w:rsidR="00D05C4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óra tantermi gyakorlat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nappali munkarend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en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C626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óra előadás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  <w:r w:rsidR="00C626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óra tantermi gyakorlat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levelező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munkarend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en az adott félévben.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="00DE2351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="00DE2351"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="00DE2351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="00DE2351"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E2351"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B60EB1" w:rsidRP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kurzushoz </w:t>
            </w:r>
            <w:r w:rsidR="00C626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</w:t>
            </w:r>
            <w:r w:rsidR="00B60EB1" w:rsidRP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óra konzultáció kapcsolódik, mely keretében a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hallgatók </w:t>
            </w:r>
            <w:r w:rsidR="00C626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lehetőséget kapnak minden, a félév végén megvalósuló államvizsgával kapcsolatos kérdéseik felvetésére, azok megválaszolására. A konzultációk elsődleges célja a hallgatók államvizsgára való felkészülése, mely magában foglalja a szakma bármely részével kapcsolatos információk ismétlését, összegzését, szintetizálását. A hallgatók a félév során be kell, hogy mutassák saját „digitális könyvtárukat” mely a kidolgozott tételeket, gyakorlati hasznos </w:t>
            </w:r>
            <w:r w:rsidR="00E4491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alkalmazásokat, jegyzeteket foglal magában.</w:t>
            </w:r>
          </w:p>
        </w:tc>
      </w:tr>
      <w:tr w:rsidR="00DE2351" w:rsidRPr="00167591" w14:paraId="7DF1D2D2" w14:textId="77777777" w:rsidTr="00167591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27E64A9B" w:rsidR="00DE2351" w:rsidRPr="00B60EB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r w:rsidRPr="00B60EB1">
              <w:rPr>
                <w:rFonts w:ascii="Times New Roman" w:eastAsia="Times New Roman" w:hAnsi="Times New Roman" w:cs="Times New Roman"/>
                <w:b/>
                <w:lang w:eastAsia="hu-HU"/>
              </w:rPr>
              <w:t>koll.</w:t>
            </w: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/ gyj.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/ egyéb</w:t>
            </w:r>
            <w:r w:rsidRPr="00167591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footnoteReference w:id="3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kollokvium</w:t>
            </w:r>
          </w:p>
          <w:p w14:paraId="42C796D2" w14:textId="7DD1D5C9" w:rsidR="00DE2351" w:rsidRPr="00167591" w:rsidRDefault="00DE2351" w:rsidP="00B60EB1">
            <w:pPr>
              <w:suppressAutoHyphens/>
              <w:spacing w:before="6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4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  <w:r w:rsidR="00BD4EAE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866E2D" w:rsidRPr="00866E2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félév során </w:t>
            </w:r>
            <w:r w:rsidR="00E4491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az elméleti részben minden hallgató az államvizsga elméleti tételsorából kell, hogy </w:t>
            </w:r>
            <w:r w:rsidR="00B726A5">
              <w:rPr>
                <w:rFonts w:ascii="Times New Roman" w:eastAsia="Times New Roman" w:hAnsi="Times New Roman" w:cs="Times New Roman"/>
                <w:b/>
                <w:lang w:eastAsia="hu-HU"/>
              </w:rPr>
              <w:t>beadjon kidolgozva</w:t>
            </w:r>
            <w:r w:rsidR="00E4491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annyit, amennyit úgy kapunk, hogy az összes tétel egyenlően elosztható legyen a hallgatók között</w:t>
            </w:r>
            <w:r w:rsidR="00B726A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(16 hallgató esetén 2/hallgató).</w:t>
            </w:r>
            <w:r w:rsidR="00E4491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A gyakorlati rész során az államvizsga gyakorlati tételeiből kell húzniuk egy felnőtt és egy gyermek szituációt, melyen betegeket el kell látniuk. Fontos megjegyezni, hogy a cél a hibák felderítése és azok korrigálása, így amennyiben a hallgató nem veszélyezteti a beteg életét, a kurzus gyakorlati részének teljesítése már sikeres. A kurzus teljesített amennyiben mind az elméleti, mind a gyakorlati feltételek teljesültek.</w:t>
            </w:r>
          </w:p>
        </w:tc>
      </w:tr>
      <w:tr w:rsidR="00DE2351" w:rsidRPr="00167591" w14:paraId="2EDF3800" w14:textId="77777777" w:rsidTr="00167591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4F926E25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</w:t>
            </w:r>
            <w:r w:rsidR="00E4491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II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</w:t>
            </w:r>
            <w:r w:rsidR="000034B0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 szemeszter</w:t>
            </w:r>
          </w:p>
        </w:tc>
      </w:tr>
      <w:tr w:rsidR="00DE2351" w:rsidRPr="00167591" w14:paraId="1779E898" w14:textId="77777777" w:rsidTr="00167591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79DB5" w14:textId="5E9795DE" w:rsidR="00DE2351" w:rsidRPr="00866E2D" w:rsidRDefault="00DE2351" w:rsidP="00E44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</w:p>
        </w:tc>
      </w:tr>
      <w:tr w:rsidR="00DE2351" w:rsidRPr="00167591" w14:paraId="46814628" w14:textId="77777777" w:rsidTr="00167591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DE2351" w:rsidRPr="00167591" w14:paraId="3E6283B5" w14:textId="77777777" w:rsidTr="00167591">
        <w:trPr>
          <w:trHeight w:val="347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8E9E9" w14:textId="22760AFF" w:rsidR="00167591" w:rsidRPr="006B2E70" w:rsidRDefault="00866E2D" w:rsidP="00910CBA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 xml:space="preserve">A tárgy 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 xml:space="preserve">elméleti és gyakorlati részeinek 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>oktatás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 xml:space="preserve"> célja a</w:t>
            </w:r>
            <w:r w:rsidR="00E4491F">
              <w:rPr>
                <w:rFonts w:ascii="Times New Roman" w:eastAsia="Times New Roman" w:hAnsi="Times New Roman" w:cs="Times New Roman"/>
                <w:lang w:eastAsia="hu-HU"/>
              </w:rPr>
              <w:t xml:space="preserve"> mentőtiszt alapképzés során elsajátított információk átfogó és szisztematikus áttekintése, ismétlése, összefoglalása. </w:t>
            </w:r>
            <w:r w:rsidR="009E4DEB">
              <w:rPr>
                <w:rFonts w:ascii="Times New Roman" w:eastAsia="Times New Roman" w:hAnsi="Times New Roman" w:cs="Times New Roman"/>
                <w:lang w:eastAsia="hu-HU"/>
              </w:rPr>
              <w:t xml:space="preserve">Egyéb célként említhető a vezetői képesség és attitűd kialakítása a hallgatókban, valamint a csapaton belüli és betegekkel folytatott kommunikáció szintjének emelése. </w:t>
            </w:r>
            <w:r w:rsidR="00E4491F">
              <w:rPr>
                <w:rFonts w:ascii="Times New Roman" w:eastAsia="Times New Roman" w:hAnsi="Times New Roman" w:cs="Times New Roman"/>
                <w:lang w:eastAsia="hu-HU"/>
              </w:rPr>
              <w:t xml:space="preserve">A kurzus kimenetelének </w:t>
            </w:r>
            <w:r w:rsidR="001066BA">
              <w:rPr>
                <w:rFonts w:ascii="Times New Roman" w:eastAsia="Times New Roman" w:hAnsi="Times New Roman" w:cs="Times New Roman"/>
                <w:lang w:eastAsia="hu-HU"/>
              </w:rPr>
              <w:t>gyakorlati c</w:t>
            </w:r>
            <w:r w:rsidR="00E4491F">
              <w:rPr>
                <w:rFonts w:ascii="Times New Roman" w:eastAsia="Times New Roman" w:hAnsi="Times New Roman" w:cs="Times New Roman"/>
                <w:lang w:eastAsia="hu-HU"/>
              </w:rPr>
              <w:t xml:space="preserve">élja az államvizsgát sikeresen teljesítő hallgatók létszámának növelése szakmai </w:t>
            </w:r>
            <w:r w:rsidR="009E4DEB">
              <w:rPr>
                <w:rFonts w:ascii="Times New Roman" w:eastAsia="Times New Roman" w:hAnsi="Times New Roman" w:cs="Times New Roman"/>
                <w:lang w:eastAsia="hu-HU"/>
              </w:rPr>
              <w:t>minőséggarancia mellett. A hallgató továbbá képes lesz saját ismereteit a jövőben szinten tartani, megismeri a különféle, gyakorlatban alkalmazható alkalmazások, score rendszerek, segítő jegyzetek készítésének és használatának módjait.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 xml:space="preserve"> Képessé válik az életet közvetlenül veszélyeztető ritmuszavarok felismerésére, kezelésére. Képessé válik továbbá a hatékony, csapatban történő 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>csap</w:t>
            </w:r>
            <w:r w:rsidR="009E4DEB">
              <w:rPr>
                <w:rFonts w:ascii="Times New Roman" w:eastAsia="Times New Roman" w:hAnsi="Times New Roman" w:cs="Times New Roman"/>
                <w:lang w:eastAsia="hu-HU"/>
              </w:rPr>
              <w:t>at és betegkommunikációra.</w:t>
            </w:r>
          </w:p>
        </w:tc>
      </w:tr>
      <w:tr w:rsidR="00DE2351" w:rsidRPr="00167591" w14:paraId="5CC590D6" w14:textId="77777777" w:rsidTr="00167591">
        <w:trPr>
          <w:trHeight w:val="388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455388DC" w:rsidR="00DE2351" w:rsidRPr="00167591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részletes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tematikája </w:t>
            </w:r>
            <w:r w:rsidR="006B2E70">
              <w:rPr>
                <w:rFonts w:ascii="Times New Roman" w:eastAsia="Times New Roman" w:hAnsi="Times New Roman" w:cs="Times New Roman"/>
                <w:b/>
                <w:lang w:eastAsia="hu-HU"/>
              </w:rPr>
              <w:t>nappali képzés:</w:t>
            </w:r>
          </w:p>
        </w:tc>
      </w:tr>
      <w:tr w:rsidR="00DE2351" w:rsidRPr="00167591" w14:paraId="70C44811" w14:textId="77777777" w:rsidTr="000E0268">
        <w:trPr>
          <w:trHeight w:val="564"/>
          <w:jc w:val="center"/>
        </w:trPr>
        <w:tc>
          <w:tcPr>
            <w:tcW w:w="1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E0268" w:rsidRDefault="00DE2351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59A2BEEF" w:rsidR="00DE235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Elméleti t</w:t>
            </w:r>
            <w:r w:rsidR="00DE2351"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ananyag leírása</w:t>
            </w:r>
          </w:p>
        </w:tc>
      </w:tr>
      <w:tr w:rsidR="00167591" w:rsidRPr="00167591" w14:paraId="6BCA4A90" w14:textId="77777777" w:rsidTr="000E0268">
        <w:trPr>
          <w:jc w:val="center"/>
        </w:trPr>
        <w:tc>
          <w:tcPr>
            <w:tcW w:w="16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2D1893ED" w:rsidR="00167591" w:rsidRPr="000E0268" w:rsidRDefault="006B2E70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467" w14:textId="77777777" w:rsidR="00167591" w:rsidRDefault="00C21D65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Államvizsga felépítése, részei, tételsor ismertetése</w:t>
            </w:r>
            <w:r w:rsidR="00B726A5">
              <w:rPr>
                <w:rFonts w:ascii="Times New Roman" w:eastAsia="Times New Roman" w:hAnsi="Times New Roman" w:cs="Times New Roman"/>
                <w:lang w:eastAsia="hu-HU"/>
              </w:rPr>
              <w:t>, a sikeres teljesítés feltételrendszere (1 óra)</w:t>
            </w:r>
          </w:p>
          <w:p w14:paraId="5CA973BF" w14:textId="36556E93" w:rsidR="00B726A5" w:rsidRPr="000E0268" w:rsidRDefault="00523B6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Peremterületek ismereteinek összefoglalása (1 óra)</w:t>
            </w:r>
          </w:p>
        </w:tc>
      </w:tr>
      <w:tr w:rsidR="00167591" w:rsidRPr="00167591" w14:paraId="78CC8F8C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7AA9F35C" w:rsidR="00167591" w:rsidRPr="000E0268" w:rsidRDefault="006B2E70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0339" w14:textId="2759060F" w:rsidR="00167591" w:rsidRPr="000E0268" w:rsidRDefault="00B726A5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Anatómia ismétlés (2 óra)</w:t>
            </w:r>
          </w:p>
        </w:tc>
      </w:tr>
      <w:tr w:rsidR="00167591" w:rsidRPr="00167591" w14:paraId="07A3ED62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6186C1DB" w:rsidR="00167591" w:rsidRPr="000E0268" w:rsidRDefault="006B2E70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3D5D" w14:textId="04C6583D" w:rsidR="00167591" w:rsidRPr="000E0268" w:rsidRDefault="00B726A5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</w:rPr>
              <w:t>Élettan ismétlés (2 óra)</w:t>
            </w:r>
          </w:p>
        </w:tc>
      </w:tr>
      <w:tr w:rsidR="00167591" w:rsidRPr="00167591" w14:paraId="7800E398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434BE01D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534" w14:textId="0D053ABF" w:rsidR="00167591" w:rsidRPr="000E0268" w:rsidRDefault="00B726A5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Kórtan ismétlés (2 óra)</w:t>
            </w:r>
          </w:p>
        </w:tc>
      </w:tr>
      <w:tr w:rsidR="00167591" w:rsidRPr="00167591" w14:paraId="2A9F19C1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31DB16AD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9905" w14:textId="57D9F77B" w:rsidR="00167591" w:rsidRPr="000E0268" w:rsidRDefault="00B726A5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</w:rPr>
              <w:t>Oxyológia I-IV ismétlés</w:t>
            </w:r>
            <w:r w:rsidR="00523B63">
              <w:rPr>
                <w:rFonts w:ascii="Times New Roman" w:hAnsi="Times New Roman" w:cs="Times New Roman"/>
              </w:rPr>
              <w:t xml:space="preserve">, EKG ismeretek összefoglalása </w:t>
            </w:r>
            <w:r>
              <w:rPr>
                <w:rFonts w:ascii="Times New Roman" w:hAnsi="Times New Roman" w:cs="Times New Roman"/>
              </w:rPr>
              <w:t>(2 óra)</w:t>
            </w:r>
          </w:p>
        </w:tc>
      </w:tr>
      <w:tr w:rsidR="00167591" w:rsidRPr="00167591" w14:paraId="54380411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6F41CB83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6A7D" w14:textId="3FF20D51" w:rsidR="00167591" w:rsidRPr="000E0268" w:rsidRDefault="00B726A5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Klinikai labordiagnosztika, képalkotói ismeretek ismétlés (2 óra)</w:t>
            </w:r>
          </w:p>
        </w:tc>
      </w:tr>
      <w:tr w:rsidR="00167591" w:rsidRPr="00167591" w14:paraId="77DB4487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5BE59A" w14:textId="58E19D01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85A" w14:textId="1B142C0F" w:rsidR="00167591" w:rsidRPr="000E0268" w:rsidRDefault="00B726A5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Szülészet, nőgyógyászat, gyermekgyógyászat, mentésszervezés</w:t>
            </w:r>
            <w:r w:rsidR="00523B63">
              <w:rPr>
                <w:rFonts w:ascii="Times New Roman" w:eastAsia="Times New Roman" w:hAnsi="Times New Roman" w:cs="Times New Roman"/>
                <w:lang w:eastAsia="hu-HU"/>
              </w:rPr>
              <w:t xml:space="preserve"> ismétlése (2 óra)</w:t>
            </w:r>
          </w:p>
        </w:tc>
      </w:tr>
      <w:tr w:rsidR="00167591" w:rsidRPr="00167591" w14:paraId="1A366294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C0E4D7" w14:textId="3B5AEC95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844" w14:textId="7DDA9358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Gyakorlati tananyag leírása</w:t>
            </w:r>
          </w:p>
        </w:tc>
      </w:tr>
      <w:tr w:rsidR="00167591" w:rsidRPr="00167591" w14:paraId="04045B87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5814D2" w14:textId="0CFC7EEE" w:rsidR="00910CBA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725" w14:textId="003430D4" w:rsidR="00167591" w:rsidRPr="000E0268" w:rsidRDefault="00523B6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</w:rPr>
              <w:t>Mellkasi panaszok differenciáldiagnosztikája és ellátása (4 óra)</w:t>
            </w:r>
          </w:p>
        </w:tc>
      </w:tr>
      <w:tr w:rsidR="00167591" w:rsidRPr="00167591" w14:paraId="32AD473B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ECC492" w14:textId="45209384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220D" w14:textId="1EBE5D68" w:rsidR="00167591" w:rsidRPr="000E0268" w:rsidRDefault="00523B6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Dyspnoes panaszok differenciáldiagnosztikája és ellátása (4 óra)</w:t>
            </w:r>
          </w:p>
        </w:tc>
      </w:tr>
      <w:tr w:rsidR="00167591" w:rsidRPr="00167591" w14:paraId="3DA155F6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CA57FF" w14:textId="4FD7D077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AB0" w14:textId="43A0E6F2" w:rsidR="00167591" w:rsidRPr="000E0268" w:rsidRDefault="00523B6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Eszméletlenséggel, tudatzavarral járó állapotok differenciáldiagnosztikája és ellátása (4 óra)</w:t>
            </w:r>
          </w:p>
        </w:tc>
      </w:tr>
      <w:tr w:rsidR="00167591" w:rsidRPr="00167591" w14:paraId="6A240189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F3C28" w14:textId="3B8FC06A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A4BE" w14:textId="7D34E597" w:rsidR="00167591" w:rsidRPr="000E0268" w:rsidRDefault="00523B6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Traumás sérültek ellátása, emeltszintű újraélesztés (4 óra)</w:t>
            </w:r>
          </w:p>
        </w:tc>
      </w:tr>
      <w:tr w:rsidR="00167591" w:rsidRPr="00167591" w14:paraId="41A866EF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585D92" w14:textId="5BB183C8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92A4" w14:textId="647C9222" w:rsidR="00167591" w:rsidRPr="000E0268" w:rsidRDefault="00523B6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Shock állapotok differenciáldiagnosztikája és ellátása (4 óra)</w:t>
            </w:r>
          </w:p>
        </w:tc>
      </w:tr>
      <w:tr w:rsidR="000F48C2" w:rsidRPr="00167591" w14:paraId="19A38815" w14:textId="77777777" w:rsidTr="000E0268">
        <w:trPr>
          <w:jc w:val="center"/>
        </w:trPr>
        <w:tc>
          <w:tcPr>
            <w:tcW w:w="16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85A364" w14:textId="0B138CD1" w:rsidR="000F48C2" w:rsidRPr="000E0268" w:rsidRDefault="00E23BE9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br w:type="page"/>
            </w:r>
            <w:r w:rsidR="00910CBA"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E143" w14:textId="5F236136" w:rsidR="000F48C2" w:rsidRPr="000E0268" w:rsidRDefault="001066BA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Traumás gyermeksérültek ellátása, gyermekek shockfolyamatainak ellátása</w:t>
            </w:r>
          </w:p>
        </w:tc>
      </w:tr>
      <w:tr w:rsidR="000F48C2" w:rsidRPr="00167591" w14:paraId="6FD9057E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AEC0AA" w14:textId="18DA6F17" w:rsidR="000F48C2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EEF5" w14:textId="2201685B" w:rsidR="000F48C2" w:rsidRPr="000E0268" w:rsidRDefault="001066BA" w:rsidP="000E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 újraélesztés, gyermekek tudatzavarral járó állapotainak ellátása</w:t>
            </w:r>
          </w:p>
        </w:tc>
      </w:tr>
      <w:tr w:rsidR="00586B25" w:rsidRPr="00167591" w14:paraId="4D20B0AE" w14:textId="77777777" w:rsidTr="000E0268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6606D4" w14:textId="45CA3B52" w:rsidR="00586B25" w:rsidRPr="000E0268" w:rsidRDefault="00586B25" w:rsidP="000E026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eastAsia="Times New Roman" w:hAnsi="Times New Roman" w:cs="Times New Roman"/>
                <w:lang w:eastAsia="hu-HU"/>
              </w:rPr>
              <w:t xml:space="preserve">A tantárgy részletes </w:t>
            </w:r>
            <w:r w:rsidRPr="000E0268">
              <w:rPr>
                <w:rFonts w:ascii="Times New Roman" w:eastAsia="Times New Roman" w:hAnsi="Times New Roman" w:cs="Times New Roman"/>
                <w:b/>
                <w:lang w:eastAsia="hu-HU"/>
              </w:rPr>
              <w:t>tematikája levelező képzés:</w:t>
            </w:r>
          </w:p>
        </w:tc>
      </w:tr>
      <w:tr w:rsidR="00586B25" w:rsidRPr="00167591" w14:paraId="154D4F3B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288B9D" w14:textId="60078159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DA8E" w14:textId="1AFA1F15" w:rsidR="00586B25" w:rsidRPr="000E0268" w:rsidRDefault="00586B25" w:rsidP="000E026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Elméleti tananyag leírása</w:t>
            </w:r>
          </w:p>
        </w:tc>
      </w:tr>
      <w:tr w:rsidR="00586B25" w:rsidRPr="00167591" w14:paraId="4B1894D2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4787B6" w14:textId="590A1EF0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E82E" w14:textId="77777777" w:rsidR="001066BA" w:rsidRDefault="001066BA" w:rsidP="001066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Államvizsga felépítése, részei, tételsor ismertetése, a sikeres teljesítés feltételrendszere (1 óra)</w:t>
            </w:r>
          </w:p>
          <w:p w14:paraId="040C0DED" w14:textId="4F21A5A9" w:rsidR="001066BA" w:rsidRDefault="001066BA" w:rsidP="001066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Anatómia ismétlés (1 óra)</w:t>
            </w:r>
          </w:p>
          <w:p w14:paraId="471A8B9C" w14:textId="77777777" w:rsidR="001066BA" w:rsidRDefault="001066BA" w:rsidP="001066B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Élettan ismétlés (1 óra)</w:t>
            </w:r>
          </w:p>
          <w:p w14:paraId="2369550B" w14:textId="0D3BB850" w:rsidR="00586B25" w:rsidRPr="001066BA" w:rsidRDefault="001066BA" w:rsidP="001066B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Kórtan ismétlés (1 óra)</w:t>
            </w:r>
          </w:p>
          <w:p w14:paraId="0EC35154" w14:textId="589BA0C0" w:rsidR="001066BA" w:rsidRDefault="001066BA" w:rsidP="001066B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</w:rPr>
              <w:t>Oxyológia I-IV ismétlés, EKG ismeretek összefoglalása (1 óra)</w:t>
            </w:r>
          </w:p>
          <w:p w14:paraId="13E93AAD" w14:textId="398DE979" w:rsidR="001066BA" w:rsidRDefault="001066BA" w:rsidP="001066B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Klinikai labordiagnosztika, képalkotói ismeretek ismétlés (1 óra)</w:t>
            </w:r>
          </w:p>
          <w:p w14:paraId="1F2E379F" w14:textId="47AEAF72" w:rsidR="001066BA" w:rsidRPr="000E0268" w:rsidRDefault="001066BA" w:rsidP="001066B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Szülészet, nőgyógyászat, gyermekgyógyászat, mentésszervezés ismétlése (1 óra)</w:t>
            </w:r>
          </w:p>
        </w:tc>
      </w:tr>
      <w:tr w:rsidR="00586B25" w:rsidRPr="00167591" w14:paraId="08382447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9C2114" w14:textId="7DC4DAC3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0252" w14:textId="77777777" w:rsidR="001066BA" w:rsidRDefault="001066BA" w:rsidP="001066B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</w:rPr>
              <w:t>Oxyológia I-IV ismétlés, EKG ismeretek összefoglalása (1 óra)</w:t>
            </w:r>
          </w:p>
          <w:p w14:paraId="5649C9D9" w14:textId="77777777" w:rsidR="001066BA" w:rsidRDefault="001066BA" w:rsidP="001066B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Klinikai labordiagnosztika, képalkotói ismeretek ismétlés (1 óra)</w:t>
            </w:r>
          </w:p>
          <w:p w14:paraId="55ADD102" w14:textId="67D15D4D" w:rsidR="00586B25" w:rsidRPr="000E0268" w:rsidRDefault="001066BA" w:rsidP="001066B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Szülészet, nőgyógyászat, gyermekgyógyászat, mentésszervezés ismétlése (1 óra)</w:t>
            </w:r>
          </w:p>
        </w:tc>
      </w:tr>
      <w:tr w:rsidR="00586B25" w:rsidRPr="00167591" w14:paraId="2FE6ED61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CBDEC" w14:textId="395FA4EE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4CF" w14:textId="25471694" w:rsidR="00586B25" w:rsidRPr="000E0268" w:rsidRDefault="00586B25" w:rsidP="000E026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Gyakorlati tananyag leírása</w:t>
            </w:r>
          </w:p>
        </w:tc>
      </w:tr>
      <w:tr w:rsidR="00586B25" w:rsidRPr="00167591" w14:paraId="26C94E18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70B6C8" w14:textId="51B6F6D8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8F0" w14:textId="09BE8170" w:rsidR="00586B25" w:rsidRPr="000E0268" w:rsidRDefault="001066BA" w:rsidP="000E026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Mellkasi panaszok differenciáldiagnosztikája és ellátása (4 óra)</w:t>
            </w:r>
          </w:p>
        </w:tc>
      </w:tr>
      <w:tr w:rsidR="001066BA" w:rsidRPr="00167591" w14:paraId="37A06318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9F8C8E" w14:textId="00A6B44B" w:rsidR="001066BA" w:rsidRPr="000E0268" w:rsidRDefault="001066BA" w:rsidP="0010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DFFA" w14:textId="1197E71A" w:rsidR="001066BA" w:rsidRPr="000E0268" w:rsidRDefault="001066BA" w:rsidP="001066B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Dyspnoes panaszok differenciáldiagnosztikája és ellátása (4 óra)</w:t>
            </w:r>
          </w:p>
        </w:tc>
      </w:tr>
      <w:tr w:rsidR="00586B25" w:rsidRPr="00167591" w14:paraId="22615B31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5E6FAC" w14:textId="5FF4C964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E8B0" w14:textId="3E9D266A" w:rsidR="00586B25" w:rsidRPr="000E0268" w:rsidRDefault="001066BA" w:rsidP="000E026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Eszméletlenséggel, tudatzavarral járó állapotok differenciáldiagnosztikája és ellátása (4 óra)</w:t>
            </w:r>
          </w:p>
        </w:tc>
      </w:tr>
      <w:tr w:rsidR="00586B25" w:rsidRPr="00167591" w14:paraId="57FCD3AB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6A5C5C" w14:textId="1E526DC2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0C91" w14:textId="135E12EB" w:rsidR="00586B25" w:rsidRPr="000E0268" w:rsidRDefault="001066BA" w:rsidP="000E026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Traumás sérültek ellátása, emeltszintű újraélesztés (4 óra)</w:t>
            </w:r>
          </w:p>
        </w:tc>
      </w:tr>
      <w:tr w:rsidR="001066BA" w:rsidRPr="00167591" w14:paraId="205B5432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8FECBA" w14:textId="18EE51FE" w:rsidR="001066BA" w:rsidRPr="000E0268" w:rsidRDefault="001066BA" w:rsidP="0010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5.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5FC1" w14:textId="15B5F4E7" w:rsidR="001066BA" w:rsidRPr="000E0268" w:rsidRDefault="001066BA" w:rsidP="001066B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Shock állapotok differenciáldiagnosztikája és ellátása (4 óra)</w:t>
            </w:r>
          </w:p>
        </w:tc>
      </w:tr>
      <w:tr w:rsidR="001066BA" w:rsidRPr="00167591" w14:paraId="513AA29A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C746C8" w14:textId="79F86199" w:rsidR="001066BA" w:rsidRPr="000E0268" w:rsidRDefault="001066BA" w:rsidP="0010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3B67" w14:textId="6DA39D40" w:rsidR="001066BA" w:rsidRPr="000E0268" w:rsidRDefault="001066BA" w:rsidP="001066B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Traumás gyermeksérültek ellátása, gyermekek shockfolyamatainak ellátása</w:t>
            </w:r>
          </w:p>
        </w:tc>
      </w:tr>
      <w:tr w:rsidR="001066BA" w:rsidRPr="00167591" w14:paraId="73737A24" w14:textId="77777777" w:rsidTr="000E0268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85DA4B" w14:textId="4FEA48A0" w:rsidR="001066BA" w:rsidRPr="000E0268" w:rsidRDefault="001066BA" w:rsidP="0010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28F0" w14:textId="30DFA3BB" w:rsidR="001066BA" w:rsidRPr="000E0268" w:rsidRDefault="001066BA" w:rsidP="001066B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 újraélesztés, gyermekek tudatzavarral járó állapotainak ellátása</w:t>
            </w:r>
          </w:p>
        </w:tc>
      </w:tr>
      <w:tr w:rsidR="001066BA" w:rsidRPr="00167591" w14:paraId="7BBDF4F7" w14:textId="77777777" w:rsidTr="00167591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0A445B4A" w:rsidR="001066BA" w:rsidRPr="00167591" w:rsidRDefault="001066BA" w:rsidP="00106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br w:type="page"/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1675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1066BA" w:rsidRPr="00167591" w14:paraId="61F57441" w14:textId="77777777" w:rsidTr="00167591">
        <w:trPr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43E745" w14:textId="2A8DBA1B" w:rsidR="001066BA" w:rsidRDefault="001066BA" w:rsidP="0010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Kötelező:</w:t>
            </w:r>
          </w:p>
          <w:p w14:paraId="3418CE42" w14:textId="61184721" w:rsidR="008E712A" w:rsidRPr="008E712A" w:rsidRDefault="008E712A" w:rsidP="008E712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Aktuális államvizsga tételsor</w:t>
            </w:r>
          </w:p>
          <w:p w14:paraId="64A70656" w14:textId="18BB3744" w:rsidR="001066BA" w:rsidRPr="00167591" w:rsidRDefault="001066BA" w:rsidP="0010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Ajánlott:</w:t>
            </w:r>
          </w:p>
          <w:p w14:paraId="07B44E81" w14:textId="77777777" w:rsidR="001066BA" w:rsidRDefault="001066B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>Betlehem (szerk.): A sürgősségi ellátás elméleti és gyakorlati alapjai könyv vonatkozó fejezetei</w:t>
            </w:r>
          </w:p>
          <w:p w14:paraId="52FE72B7" w14:textId="77777777" w:rsidR="001066BA" w:rsidRDefault="001066B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892DE0">
              <w:rPr>
                <w:rFonts w:ascii="Times New Roman" w:eastAsia="Times New Roman" w:hAnsi="Times New Roman" w:cs="Times New Roman"/>
                <w:bCs/>
                <w:lang w:eastAsia="hu-HU"/>
              </w:rPr>
              <w:t>Reichman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: Sürgősségi orvostan</w:t>
            </w:r>
          </w:p>
          <w:p w14:paraId="7B7B7C60" w14:textId="2CA27E3B" w:rsidR="001066BA" w:rsidRDefault="001066B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Kádár: Diagnosztikus és terápiás eljárások a prehospitális gyakorlatban</w:t>
            </w:r>
          </w:p>
          <w:p w14:paraId="35E6F8B3" w14:textId="77777777" w:rsidR="001066BA" w:rsidRDefault="001066B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Campbell: Helyszíni sérültellátás</w:t>
            </w:r>
          </w:p>
          <w:p w14:paraId="11356E37" w14:textId="77777777" w:rsidR="008E712A" w:rsidRDefault="008E712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Donáth: Anatómia – élettan 10. kiadás</w:t>
            </w:r>
          </w:p>
          <w:p w14:paraId="7E34D0BF" w14:textId="77777777" w:rsidR="008E712A" w:rsidRDefault="008E712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Herold: Belgyógyászat</w:t>
            </w:r>
          </w:p>
          <w:p w14:paraId="6BBE4230" w14:textId="77777777" w:rsidR="008E712A" w:rsidRDefault="008E712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Thaler: Az egyetlen EKG könyv, amire szükség lesz</w:t>
            </w:r>
          </w:p>
          <w:p w14:paraId="667AEE52" w14:textId="77777777" w:rsidR="008E712A" w:rsidRDefault="008E712A" w:rsidP="001066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Tulassay (szerk.): Klinikai gyermekgyógyászat 2. kiadás</w:t>
            </w:r>
          </w:p>
          <w:p w14:paraId="6E9EECF5" w14:textId="63F782F1" w:rsidR="008E712A" w:rsidRPr="008E712A" w:rsidRDefault="008E712A" w:rsidP="008E712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Papp (szerk.): A perinatológia kézikönyve 2. kiadás</w:t>
            </w:r>
          </w:p>
        </w:tc>
      </w:tr>
      <w:tr w:rsidR="001066BA" w:rsidRPr="00167591" w14:paraId="7B01CCD3" w14:textId="77777777" w:rsidTr="00167591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1066BA" w:rsidRPr="00167591" w:rsidRDefault="001066BA" w:rsidP="00106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1675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1066BA" w:rsidRPr="00167591" w14:paraId="20FD1AD0" w14:textId="77777777" w:rsidTr="00167591">
        <w:trPr>
          <w:trHeight w:val="296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6362E3" w14:textId="3AE008FE" w:rsidR="001066BA" w:rsidRPr="00A52364" w:rsidRDefault="001066BA" w:rsidP="001066BA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14:paraId="571539C9" w14:textId="77777777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prehospitális és hospitális ügyeleti és sürgősségi ellátásban használatos korszerű eszközöket, gyógyszereket, kötszereket és műszereket, azok biztonságos alkalmazását.</w:t>
            </w:r>
          </w:p>
          <w:p w14:paraId="6456CB74" w14:textId="457F6527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ind w:left="748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sürgősségi kardiológiai elektroterápia formáit, ezek kivitelezését és az alkalmazás során betartandó biztonsági szabályokat.</w:t>
            </w:r>
          </w:p>
          <w:p w14:paraId="70C80F82" w14:textId="30C9D62D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eszközös és eszköz nélküli légútbiztosítás formáit, ezek kivitelezését és az alkalmazás során betartandó szabályokat.</w:t>
            </w:r>
          </w:p>
          <w:p w14:paraId="4607DD6C" w14:textId="531CD96C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eszközös és eszköz nélküli lélegeztetés formáit, valamint a leggyakrabban alkalmazott lélegeztetőgépek működését.</w:t>
            </w:r>
          </w:p>
          <w:p w14:paraId="36C640FE" w14:textId="39DB846B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oxigénadás lehetőségeit.</w:t>
            </w:r>
          </w:p>
          <w:p w14:paraId="6EB8120F" w14:textId="375FDD08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sürgősségi ellátásban alkalmazott monitorozási formákat.</w:t>
            </w:r>
          </w:p>
          <w:p w14:paraId="2699B5B9" w14:textId="287F11CD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folyadék- és gyógyszerbejuttatási formákat, a gyógyszerdózis számításának alapelveit, valamint a perfúzor alkalmazását.</w:t>
            </w:r>
          </w:p>
          <w:p w14:paraId="71DD3FD0" w14:textId="3A9CC0BD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mobilizáció és immobilizáció lehetséges módszereit, eszközeit.</w:t>
            </w:r>
          </w:p>
          <w:p w14:paraId="4FE604F3" w14:textId="114520A5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egészségügyi dokumentáció tipusait, módszertanát.</w:t>
            </w:r>
          </w:p>
          <w:p w14:paraId="4658B7D1" w14:textId="12D133F7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75D03">
              <w:rPr>
                <w:rFonts w:ascii="Times New Roman" w:hAnsi="Times New Roman" w:cs="Times New Roman"/>
              </w:rPr>
              <w:t xml:space="preserve">smeri a vitális paraméterek mérésének indikációs körét, a beavatkozások és a kapott eredmények értékelésének menetét (beleértve a köpeny és magtemperatúra, láztípusok, légzésszám-minta-típusok, pulzusszám és qualitások, pulzusdeficit, non-invazív méréssel az </w:t>
            </w:r>
            <w:r w:rsidRPr="00B75D03">
              <w:rPr>
                <w:rFonts w:ascii="Times New Roman" w:hAnsi="Times New Roman" w:cs="Times New Roman"/>
              </w:rPr>
              <w:lastRenderedPageBreak/>
              <w:t>artériás vérnyomás meghatározását), ismeri a higiénés szükségletek kielégítésének elemeit (beleértve az alkalmazandó eszközöket, eljárásokat és indikációs kört).</w:t>
            </w:r>
          </w:p>
          <w:p w14:paraId="5490A916" w14:textId="26A3017C" w:rsidR="001066BA" w:rsidRPr="00B75D03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gyógyszertan alapfogalmait, a leggyakoribb megbetegedések kapcsán a gyógyszeres terápia hatásmechanizmusait, szövődményeket, mellékhatásokat, a különböző gyógyszerformák alkalmazását, ennek eszközrendszerét.</w:t>
            </w:r>
          </w:p>
          <w:p w14:paraId="2D0EDB59" w14:textId="1A4DEBFA" w:rsidR="001066BA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legfontosabb életmentési feladatokat, a leggyakrabban előforduló egészségkárosodások esetén szükséges teendőket a mindenkor hatályos ajánlásoknak megfelelően, az alapszintű</w:t>
            </w:r>
            <w:r>
              <w:rPr>
                <w:rFonts w:ascii="Times New Roman" w:hAnsi="Times New Roman" w:cs="Times New Roman"/>
              </w:rPr>
              <w:t xml:space="preserve"> és emeltszintű</w:t>
            </w:r>
            <w:r w:rsidRPr="00B75D03">
              <w:rPr>
                <w:rFonts w:ascii="Times New Roman" w:hAnsi="Times New Roman" w:cs="Times New Roman"/>
              </w:rPr>
              <w:t xml:space="preserve"> életmentő beavatkozásokat és eszközöket</w:t>
            </w:r>
            <w:r w:rsidRPr="00A52364">
              <w:rPr>
                <w:rFonts w:ascii="Times New Roman" w:hAnsi="Times New Roman" w:cs="Times New Roman"/>
              </w:rPr>
              <w:t>.</w:t>
            </w:r>
          </w:p>
          <w:p w14:paraId="3A629AC1" w14:textId="679710FC" w:rsidR="001066BA" w:rsidRDefault="001066BA" w:rsidP="001066BA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Ismeri a traumás eredetű keringésmegállás ellátási lépéseit.</w:t>
            </w:r>
          </w:p>
          <w:p w14:paraId="2F9226E0" w14:textId="3A792331" w:rsidR="001066BA" w:rsidRPr="00A52364" w:rsidRDefault="001066BA" w:rsidP="001066BA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364">
              <w:rPr>
                <w:rFonts w:ascii="Times New Roman" w:hAnsi="Times New Roman" w:cs="Times New Roman"/>
                <w:b/>
                <w:bCs/>
              </w:rPr>
              <w:t>Képességei</w:t>
            </w:r>
          </w:p>
          <w:p w14:paraId="657A0E14" w14:textId="152E62D4" w:rsidR="001066BA" w:rsidRPr="00A52364" w:rsidRDefault="001066BA" w:rsidP="001066BA">
            <w:pPr>
              <w:pStyle w:val="Listaszerbekezds"/>
              <w:numPr>
                <w:ilvl w:val="0"/>
                <w:numId w:val="28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Képes a sürgősségi ellátás során használatos eszközöket rendeltetésszerűen, az azokra vonatkozó biztonsági és egyéb szabályok betartása mellett használni.</w:t>
            </w:r>
          </w:p>
          <w:p w14:paraId="167AFD7E" w14:textId="37474222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14:paraId="075B97A7" w14:textId="695C5655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sürgősségi kardiológiai elektroterápia különböző formáinak kivitelezésére.</w:t>
            </w:r>
          </w:p>
          <w:p w14:paraId="5FD5A314" w14:textId="1668FBE9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az eszközös és eszköz nélküli légútbiztosítás formáinak kivitelezésére.</w:t>
            </w:r>
          </w:p>
          <w:p w14:paraId="21DE2610" w14:textId="5494C4E1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lélegeztetés különböző formáinak kivitelezésére, a leggyakrabban alkalmazott lélegeztetőgépek működtetésére.</w:t>
            </w:r>
          </w:p>
          <w:p w14:paraId="6266E796" w14:textId="6A51BE28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oxigénadásra.</w:t>
            </w:r>
          </w:p>
          <w:p w14:paraId="20CF530A" w14:textId="5CF8FD3D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sürgősségi ellátásban alkalmazott monitorozási formák kivitelezésére.</w:t>
            </w:r>
          </w:p>
          <w:p w14:paraId="4CB16F8A" w14:textId="5717FEE6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kivitelezni a különböző, sürgősségi ellátás során alkalmazott folyadék- és gyógyszerbejuttatási formák kivitelezésére/megteremtésére, a gyógyszerdózis kiszámítására, valamint a perfúzor használatára.</w:t>
            </w:r>
          </w:p>
          <w:p w14:paraId="4E10D0DB" w14:textId="4E9AB36B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 xml:space="preserve">Képes a mobilizáció és immobilizáció lehetséges módszereinek kivitelezésére. </w:t>
            </w:r>
          </w:p>
          <w:p w14:paraId="76294596" w14:textId="1FE1DEFF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megérteni a betegellátás során a gyógyszertan, a klinikum, a diagnosztika és a terápia összefüggéseit, és mindezek ismeretében képes szakterületének megfelelően szakdolgozói feladatainak ellátására.</w:t>
            </w:r>
          </w:p>
          <w:p w14:paraId="285F7824" w14:textId="3734AF49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gyakorlati tevékenységébe megfelelően integrálni a biofizikai- és egészségügyi műszaki ismereteket, valamint képes alkalmazni ezeket a diagnosztikus vizsgálati eljárások és terápiás eszközök használata során.</w:t>
            </w:r>
          </w:p>
          <w:p w14:paraId="40A31516" w14:textId="3FEE9F0E" w:rsidR="001066BA" w:rsidRPr="0038063E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vitális paraméterek megfigyelését (beleértve a köpeny és magtemperatúra, láztípusok, légzésszám-minta-típusok, pulzusszám és qualitások, pulzusdeficit, non-invazív méréssel a vérnyomás meghatározását) önállóan kivitelezni, a kapott eredményeket értékelni.</w:t>
            </w:r>
          </w:p>
          <w:p w14:paraId="4B6CC5DB" w14:textId="67BA7ABF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adekvát, a partnerhez igazított szakmai kommunikáció folytatására, szóban és írásban is, hatékonyan kommunikál a pácienssel, családdal, közösséggel, az interperszonális készségek révén képes a bizalom kialakítására a pácienssel, családdal, közösséggel.</w:t>
            </w:r>
          </w:p>
          <w:p w14:paraId="26EF4CBC" w14:textId="7803CED2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lastRenderedPageBreak/>
              <w:t>Képes átlátni az egészségügyet meghatározó jogforrások rendszerét, azok alkalmazásának szabályait, valamint megfelelően alkalmazza a releváns jogi szakkifejezéseket, kompetenciahatárainak megfelelően tájékoztatást nyújt a klienseknek a betegjogokról és azok érvényre juttatásának lehetőségeiről.</w:t>
            </w:r>
          </w:p>
          <w:p w14:paraId="7D52731F" w14:textId="7D17BB56" w:rsidR="001066BA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alkalmazni azokat az eszköz nélküli és eszközös beavatkozásokat, melyek a hirtelen bekövetkezett egészségkárosodás esetén a beteg, sérült életét megmenthetik.</w:t>
            </w:r>
          </w:p>
          <w:p w14:paraId="71F9720C" w14:textId="5ED3B0EB" w:rsidR="001066BA" w:rsidRPr="00A52364" w:rsidRDefault="001066BA" w:rsidP="001066BA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Képes vezetőként fellépni, az egységét irányítani, megfelelő módon és minőségben kommunikálni.</w:t>
            </w:r>
          </w:p>
          <w:p w14:paraId="499E1143" w14:textId="54C9BDA2" w:rsidR="001066BA" w:rsidRPr="00A52364" w:rsidRDefault="001066BA" w:rsidP="001066BA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Attitűd</w:t>
            </w:r>
          </w:p>
          <w:p w14:paraId="152D4F36" w14:textId="47F36FE2" w:rsidR="001066BA" w:rsidRPr="00A52364" w:rsidRDefault="001066BA" w:rsidP="001066BA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Nyitott és fogékony a </w:t>
            </w:r>
            <w:r w:rsidR="008E712A">
              <w:rPr>
                <w:rFonts w:ascii="Times New Roman" w:eastAsia="Times New Roman" w:hAnsi="Times New Roman" w:cs="Times New Roman"/>
                <w:bCs/>
                <w:lang w:eastAsia="hu-HU"/>
              </w:rPr>
              <w:t>sürgősségi orvostan</w:t>
            </w: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tudományosan bizonyított szakmai alapjainak megismerésére és alkalmazására.</w:t>
            </w:r>
          </w:p>
          <w:p w14:paraId="0644781A" w14:textId="01063D19" w:rsidR="001066BA" w:rsidRPr="00A52364" w:rsidRDefault="001066BA" w:rsidP="001066BA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Igényli a szakmai fejlődést, nyitott az új tudományos eredmények befogadására, törekszik azok megismerésére.</w:t>
            </w:r>
          </w:p>
          <w:p w14:paraId="0BC03ABD" w14:textId="019CC1BA" w:rsidR="001066BA" w:rsidRPr="00A52364" w:rsidRDefault="001066BA" w:rsidP="001066BA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Elkötelezett a minőségi betegellátó tevékenység iránt, saját munkáját indokolt esetben, az ennek történő megfelelés érdekében kritikával illeti.</w:t>
            </w:r>
          </w:p>
          <w:p w14:paraId="689A2E76" w14:textId="791531B9" w:rsidR="001066BA" w:rsidRPr="00A52364" w:rsidRDefault="001066BA" w:rsidP="001066BA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Munkája során betartja az egészségügyi dolgozókra vonatkozó kötelezettségeket, és felismeri felelősségének határait.</w:t>
            </w:r>
          </w:p>
          <w:p w14:paraId="7DF561D8" w14:textId="2A62AEA4" w:rsidR="001066BA" w:rsidRPr="00A52364" w:rsidRDefault="001066BA" w:rsidP="001066BA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Döntéseit a szakterület jogi és etikai szabályainak figyelembevételével hozza.</w:t>
            </w:r>
          </w:p>
          <w:p w14:paraId="49B79AC6" w14:textId="1D936AB4" w:rsidR="001066BA" w:rsidRPr="00A52364" w:rsidRDefault="001066BA" w:rsidP="001066BA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Empatikus módon viszonyul a 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páciensekhez</w:t>
            </w: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.</w:t>
            </w:r>
          </w:p>
          <w:p w14:paraId="46927F58" w14:textId="1250FA94" w:rsidR="001066BA" w:rsidRPr="00A52364" w:rsidRDefault="001066BA" w:rsidP="001066BA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Elkötelezett a minőségi szakmai munkavégzés mellett.</w:t>
            </w:r>
          </w:p>
          <w:p w14:paraId="7D2C3B1E" w14:textId="1ACD5770" w:rsidR="001066BA" w:rsidRPr="00A52364" w:rsidRDefault="001066BA" w:rsidP="001066BA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Autonómia és felelősség</w:t>
            </w:r>
          </w:p>
          <w:p w14:paraId="792B712D" w14:textId="5D075369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A beteg életét közvetve vagy közvetlenül veszélyeztető kórfolyamatok esetén, azok felismerését követően önállóan meghozza a döntést az ellátás során alkalmazandó eszköz,</w:t>
            </w:r>
            <w:r>
              <w:rPr>
                <w:sz w:val="22"/>
                <w:szCs w:val="22"/>
              </w:rPr>
              <w:t xml:space="preserve"> terápia, </w:t>
            </w:r>
            <w:r w:rsidRPr="00A52364">
              <w:rPr>
                <w:sz w:val="22"/>
                <w:szCs w:val="22"/>
              </w:rPr>
              <w:t>módszer kiválasztására vonatkozóan, majd ezeket – szükség esetén segítők bevonásával – rendeltetésszerűen alkalmazza is, a beteg/sérült életkori sajátosságainak figyelembevételével.</w:t>
            </w:r>
          </w:p>
          <w:p w14:paraId="12A1C509" w14:textId="7D7B7A7B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14:paraId="63109D25" w14:textId="56E3DFC3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Munkáját a szakma etikai normáinak betartásával önállóan vagy team-munkában végzi.</w:t>
            </w:r>
          </w:p>
          <w:p w14:paraId="0F697B19" w14:textId="5CFF9306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 xml:space="preserve">Felelősséget vállal saját és az általa vezetett team tevékenységéért, valamint a munkája során </w:t>
            </w:r>
            <w:r>
              <w:rPr>
                <w:sz w:val="22"/>
                <w:szCs w:val="22"/>
              </w:rPr>
              <w:t>d</w:t>
            </w:r>
            <w:r w:rsidRPr="00A52364">
              <w:rPr>
                <w:sz w:val="22"/>
                <w:szCs w:val="22"/>
              </w:rPr>
              <w:t>okumentált adatokért.</w:t>
            </w:r>
          </w:p>
          <w:p w14:paraId="5CA41BB6" w14:textId="1DF82690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Kezdeményez, önállóan döntést hoz.</w:t>
            </w:r>
          </w:p>
          <w:p w14:paraId="1EC806B6" w14:textId="23491557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Partneri szinten együttműködik az egészségügyi és szociális ellátórendszer tagjaival.</w:t>
            </w:r>
          </w:p>
          <w:p w14:paraId="7AB635AD" w14:textId="1D900CCE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Minőségi ellátást végez a szakmai irányelveknek megfelelően.</w:t>
            </w:r>
          </w:p>
          <w:p w14:paraId="3B362B94" w14:textId="789BF60B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Felelősséggel használja intézményeinek erőforrásait.</w:t>
            </w:r>
          </w:p>
          <w:p w14:paraId="28329ED0" w14:textId="7E507C82" w:rsidR="001066BA" w:rsidRPr="00A52364" w:rsidRDefault="001066BA" w:rsidP="001066BA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lastRenderedPageBreak/>
              <w:t>Felelősen cselekszik sürgős szükség esetén.</w:t>
            </w:r>
          </w:p>
          <w:p w14:paraId="023406FF" w14:textId="64178239" w:rsidR="001066BA" w:rsidRPr="00A52364" w:rsidRDefault="001066BA" w:rsidP="001066BA">
            <w:pPr>
              <w:pStyle w:val="Listaszerbekezds"/>
              <w:numPr>
                <w:ilvl w:val="0"/>
                <w:numId w:val="26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hAnsi="Times New Roman" w:cs="Times New Roman"/>
              </w:rPr>
              <w:t>Munkáját a munkavégzésre vonatkozó munkabiztonsági és munkaegészségügyi követelményeket, valamint a mindenkori hatályos törvényi előírásokat betartva önállóan végzi.</w:t>
            </w:r>
          </w:p>
        </w:tc>
      </w:tr>
      <w:tr w:rsidR="001066BA" w:rsidRPr="00167591" w14:paraId="27E3DFB6" w14:textId="77777777" w:rsidTr="00167591">
        <w:trPr>
          <w:trHeight w:val="338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451D2F19" w:rsidR="001066BA" w:rsidRPr="00167591" w:rsidRDefault="001066BA" w:rsidP="001066B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Tantárgy felelőse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7591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066BA" w:rsidRPr="00167591" w14:paraId="5AD7EF17" w14:textId="77777777" w:rsidTr="00167591">
        <w:trPr>
          <w:trHeight w:val="337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1066BA" w:rsidRPr="00167591" w:rsidRDefault="001066BA" w:rsidP="001066B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oktatásába bevont oktató(k),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ha van(nak)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7591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28FC2AE3" w14:textId="77777777" w:rsidR="00DE2351" w:rsidRPr="00167591" w:rsidRDefault="00DE2351" w:rsidP="002D1C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DE2351" w:rsidRPr="0016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7A60" w14:textId="77777777" w:rsidR="00AC3A38" w:rsidRDefault="00AC3A38" w:rsidP="00DE2351">
      <w:pPr>
        <w:spacing w:after="0" w:line="240" w:lineRule="auto"/>
      </w:pPr>
      <w:r>
        <w:separator/>
      </w:r>
    </w:p>
  </w:endnote>
  <w:endnote w:type="continuationSeparator" w:id="0">
    <w:p w14:paraId="4D0CC4B0" w14:textId="77777777" w:rsidR="00AC3A38" w:rsidRDefault="00AC3A38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ACA6" w14:textId="77777777" w:rsidR="00AC3A38" w:rsidRDefault="00AC3A38" w:rsidP="00DE2351">
      <w:pPr>
        <w:spacing w:after="0" w:line="240" w:lineRule="auto"/>
      </w:pPr>
      <w:r>
        <w:separator/>
      </w:r>
    </w:p>
  </w:footnote>
  <w:footnote w:type="continuationSeparator" w:id="0">
    <w:p w14:paraId="318AB497" w14:textId="77777777" w:rsidR="00AC3A38" w:rsidRDefault="00AC3A38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B70"/>
    <w:multiLevelType w:val="hybridMultilevel"/>
    <w:tmpl w:val="79D681C8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76155B"/>
    <w:multiLevelType w:val="hybridMultilevel"/>
    <w:tmpl w:val="7D129980"/>
    <w:lvl w:ilvl="0" w:tplc="A8E011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686E"/>
    <w:multiLevelType w:val="hybridMultilevel"/>
    <w:tmpl w:val="44607AB4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76305C1"/>
    <w:multiLevelType w:val="hybridMultilevel"/>
    <w:tmpl w:val="75025B36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15E1"/>
    <w:multiLevelType w:val="hybridMultilevel"/>
    <w:tmpl w:val="09CE9654"/>
    <w:lvl w:ilvl="0" w:tplc="040E0017">
      <w:start w:val="1"/>
      <w:numFmt w:val="lowerLetter"/>
      <w:lvlText w:val="%1)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81E50"/>
    <w:multiLevelType w:val="hybridMultilevel"/>
    <w:tmpl w:val="2EFE2CE4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1256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5C43"/>
    <w:multiLevelType w:val="multilevel"/>
    <w:tmpl w:val="65664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92181"/>
    <w:multiLevelType w:val="multilevel"/>
    <w:tmpl w:val="E078E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1A01"/>
    <w:multiLevelType w:val="hybridMultilevel"/>
    <w:tmpl w:val="87FA0A24"/>
    <w:lvl w:ilvl="0" w:tplc="D5EAF07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D24A2"/>
    <w:multiLevelType w:val="hybridMultilevel"/>
    <w:tmpl w:val="045C96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8121826"/>
    <w:multiLevelType w:val="hybridMultilevel"/>
    <w:tmpl w:val="9EB621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80A3F"/>
    <w:multiLevelType w:val="hybridMultilevel"/>
    <w:tmpl w:val="ACA49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45008"/>
    <w:multiLevelType w:val="hybridMultilevel"/>
    <w:tmpl w:val="1062FA62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806B7"/>
    <w:multiLevelType w:val="multilevel"/>
    <w:tmpl w:val="E078E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5CFB"/>
    <w:multiLevelType w:val="multilevel"/>
    <w:tmpl w:val="65664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1E11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16694"/>
    <w:multiLevelType w:val="hybridMultilevel"/>
    <w:tmpl w:val="359C1C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C502F"/>
    <w:multiLevelType w:val="hybridMultilevel"/>
    <w:tmpl w:val="DF2A0800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F702D"/>
    <w:multiLevelType w:val="hybridMultilevel"/>
    <w:tmpl w:val="57480106"/>
    <w:lvl w:ilvl="0" w:tplc="A6941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D582F"/>
    <w:multiLevelType w:val="hybridMultilevel"/>
    <w:tmpl w:val="7C0E99AC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526D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74CA6"/>
    <w:multiLevelType w:val="hybridMultilevel"/>
    <w:tmpl w:val="74648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1A47"/>
    <w:multiLevelType w:val="hybridMultilevel"/>
    <w:tmpl w:val="73CE0938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78D2E13"/>
    <w:multiLevelType w:val="hybridMultilevel"/>
    <w:tmpl w:val="B03A312E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578028977">
    <w:abstractNumId w:val="14"/>
  </w:num>
  <w:num w:numId="2" w16cid:durableId="1507206862">
    <w:abstractNumId w:val="11"/>
  </w:num>
  <w:num w:numId="3" w16cid:durableId="2110393308">
    <w:abstractNumId w:val="9"/>
  </w:num>
  <w:num w:numId="4" w16cid:durableId="1875730263">
    <w:abstractNumId w:val="5"/>
  </w:num>
  <w:num w:numId="5" w16cid:durableId="762264375">
    <w:abstractNumId w:val="23"/>
  </w:num>
  <w:num w:numId="6" w16cid:durableId="206797959">
    <w:abstractNumId w:val="1"/>
  </w:num>
  <w:num w:numId="7" w16cid:durableId="1364329801">
    <w:abstractNumId w:val="24"/>
  </w:num>
  <w:num w:numId="8" w16cid:durableId="453256858">
    <w:abstractNumId w:val="22"/>
  </w:num>
  <w:num w:numId="9" w16cid:durableId="1487362283">
    <w:abstractNumId w:val="17"/>
  </w:num>
  <w:num w:numId="10" w16cid:durableId="747390037">
    <w:abstractNumId w:val="3"/>
  </w:num>
  <w:num w:numId="11" w16cid:durableId="814182001">
    <w:abstractNumId w:val="15"/>
  </w:num>
  <w:num w:numId="12" w16cid:durableId="1347361674">
    <w:abstractNumId w:val="13"/>
  </w:num>
  <w:num w:numId="13" w16cid:durableId="1526603243">
    <w:abstractNumId w:val="21"/>
  </w:num>
  <w:num w:numId="14" w16cid:durableId="875888841">
    <w:abstractNumId w:val="6"/>
  </w:num>
  <w:num w:numId="15" w16cid:durableId="1825051330">
    <w:abstractNumId w:val="12"/>
  </w:num>
  <w:num w:numId="16" w16cid:durableId="403991540">
    <w:abstractNumId w:val="16"/>
  </w:num>
  <w:num w:numId="17" w16cid:durableId="1011490354">
    <w:abstractNumId w:val="10"/>
  </w:num>
  <w:num w:numId="18" w16cid:durableId="1981769049">
    <w:abstractNumId w:val="18"/>
  </w:num>
  <w:num w:numId="19" w16cid:durableId="402534423">
    <w:abstractNumId w:val="7"/>
  </w:num>
  <w:num w:numId="20" w16cid:durableId="1186942811">
    <w:abstractNumId w:val="8"/>
  </w:num>
  <w:num w:numId="21" w16cid:durableId="407311996">
    <w:abstractNumId w:val="19"/>
  </w:num>
  <w:num w:numId="22" w16cid:durableId="1907954194">
    <w:abstractNumId w:val="26"/>
  </w:num>
  <w:num w:numId="23" w16cid:durableId="305478165">
    <w:abstractNumId w:val="25"/>
  </w:num>
  <w:num w:numId="24" w16cid:durableId="384766882">
    <w:abstractNumId w:val="20"/>
  </w:num>
  <w:num w:numId="25" w16cid:durableId="84739529">
    <w:abstractNumId w:val="4"/>
  </w:num>
  <w:num w:numId="26" w16cid:durableId="1138837454">
    <w:abstractNumId w:val="0"/>
  </w:num>
  <w:num w:numId="27" w16cid:durableId="1874465939">
    <w:abstractNumId w:val="2"/>
  </w:num>
  <w:num w:numId="28" w16cid:durableId="1629624253">
    <w:abstractNumId w:val="27"/>
  </w:num>
  <w:num w:numId="29" w16cid:durableId="11921857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034B0"/>
    <w:rsid w:val="0007452A"/>
    <w:rsid w:val="00077463"/>
    <w:rsid w:val="000E0268"/>
    <w:rsid w:val="000E628B"/>
    <w:rsid w:val="000E715B"/>
    <w:rsid w:val="000F48C2"/>
    <w:rsid w:val="001066BA"/>
    <w:rsid w:val="00114316"/>
    <w:rsid w:val="00167591"/>
    <w:rsid w:val="001B6D28"/>
    <w:rsid w:val="001F0F57"/>
    <w:rsid w:val="00284F56"/>
    <w:rsid w:val="00297B71"/>
    <w:rsid w:val="002D1C93"/>
    <w:rsid w:val="002D636B"/>
    <w:rsid w:val="002E6EBD"/>
    <w:rsid w:val="002F4724"/>
    <w:rsid w:val="0038063E"/>
    <w:rsid w:val="00394BDD"/>
    <w:rsid w:val="004314B3"/>
    <w:rsid w:val="00457BAC"/>
    <w:rsid w:val="004D78A6"/>
    <w:rsid w:val="004F6D64"/>
    <w:rsid w:val="00523B63"/>
    <w:rsid w:val="005535BA"/>
    <w:rsid w:val="00557C8F"/>
    <w:rsid w:val="00567F2C"/>
    <w:rsid w:val="0058395E"/>
    <w:rsid w:val="00586B25"/>
    <w:rsid w:val="0060038D"/>
    <w:rsid w:val="00634FFC"/>
    <w:rsid w:val="006B2E70"/>
    <w:rsid w:val="00715A53"/>
    <w:rsid w:val="0072660B"/>
    <w:rsid w:val="00821425"/>
    <w:rsid w:val="00822E4B"/>
    <w:rsid w:val="00861E28"/>
    <w:rsid w:val="00866E2D"/>
    <w:rsid w:val="00885E05"/>
    <w:rsid w:val="00892DE0"/>
    <w:rsid w:val="008B680E"/>
    <w:rsid w:val="008C150A"/>
    <w:rsid w:val="008E712A"/>
    <w:rsid w:val="008F028F"/>
    <w:rsid w:val="00907B82"/>
    <w:rsid w:val="00910CBA"/>
    <w:rsid w:val="00912283"/>
    <w:rsid w:val="00992A96"/>
    <w:rsid w:val="009C732E"/>
    <w:rsid w:val="009E4DEB"/>
    <w:rsid w:val="00A436B4"/>
    <w:rsid w:val="00A52364"/>
    <w:rsid w:val="00A57FD8"/>
    <w:rsid w:val="00A81984"/>
    <w:rsid w:val="00AB021D"/>
    <w:rsid w:val="00AC3A38"/>
    <w:rsid w:val="00B60EB1"/>
    <w:rsid w:val="00B726A5"/>
    <w:rsid w:val="00B75D03"/>
    <w:rsid w:val="00BD4EAE"/>
    <w:rsid w:val="00BF4E70"/>
    <w:rsid w:val="00C206AD"/>
    <w:rsid w:val="00C21D65"/>
    <w:rsid w:val="00C25120"/>
    <w:rsid w:val="00C608BA"/>
    <w:rsid w:val="00C62688"/>
    <w:rsid w:val="00C814C4"/>
    <w:rsid w:val="00CA6446"/>
    <w:rsid w:val="00CE3A3B"/>
    <w:rsid w:val="00D05C44"/>
    <w:rsid w:val="00D1004A"/>
    <w:rsid w:val="00D21B53"/>
    <w:rsid w:val="00D27FE5"/>
    <w:rsid w:val="00D64AD9"/>
    <w:rsid w:val="00DE2351"/>
    <w:rsid w:val="00DE4A1E"/>
    <w:rsid w:val="00E23BE9"/>
    <w:rsid w:val="00E4491F"/>
    <w:rsid w:val="00E86B71"/>
    <w:rsid w:val="00F263BC"/>
    <w:rsid w:val="00F3325F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34F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BAD99-DC2A-4109-9FDC-5D61F1BC063F}"/>
</file>

<file path=customXml/itemProps4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10815</Characters>
  <Application>Microsoft Office Word</Application>
  <DocSecurity>4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2023-10-26T12:03:00Z</dcterms:created>
  <dcterms:modified xsi:type="dcterms:W3CDTF">2023-10-26T12:03:00Z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MediaServiceImageTags">
    <vt:lpwstr/>
  </property>
  <property fmtid="{D5CDD505-2E9C-101B-9397-08002B2CF9AE}" pid="4" name="Order">
    <vt:r8>320600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