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5704"/>
        <w:gridCol w:w="2181"/>
      </w:tblGrid>
      <w:tr w:rsidR="00DE2351" w:rsidRPr="000043B5" w14:paraId="5B5EC66B" w14:textId="77777777" w:rsidTr="00DE2351">
        <w:trPr>
          <w:jc w:val="center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284FF6" w14:textId="5C2D8830" w:rsidR="00DE2351" w:rsidRPr="00DE2351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Tantárgy neve:  </w:t>
            </w:r>
            <w:r w:rsidR="00E2684F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Szülészet-nőgyógyászat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9056CD" w14:textId="1C1D75AD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K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reditértéke:</w:t>
            </w:r>
            <w:r w:rsidR="00723580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="0001769D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2</w:t>
            </w:r>
          </w:p>
        </w:tc>
      </w:tr>
      <w:tr w:rsidR="00DE2351" w:rsidRPr="000043B5" w14:paraId="3272921F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EEEFCE" w14:textId="64A1329B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besorolása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723580">
              <w:rPr>
                <w:rFonts w:ascii="Playfair Display" w:eastAsia="Times New Roman" w:hAnsi="Playfair Display" w:cs="Times New Roman"/>
                <w:b/>
                <w:sz w:val="20"/>
                <w:szCs w:val="20"/>
                <w:u w:val="single"/>
                <w:lang w:eastAsia="hu-HU"/>
              </w:rPr>
              <w:t>kötelező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/ választható</w:t>
            </w:r>
          </w:p>
        </w:tc>
      </w:tr>
      <w:tr w:rsidR="00DE2351" w:rsidRPr="000043B5" w14:paraId="259D834E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5C7265" w14:textId="2F90DB60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 tantárgy elméleti vagy gyakorlati jellegének mértéke, „képzési karaktere”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bdr w:val="dotted" w:sz="4" w:space="0" w:color="auto"/>
                <w:vertAlign w:val="superscript"/>
                <w:lang w:eastAsia="hu-HU"/>
              </w:rPr>
              <w:t>12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="00723580" w:rsidRPr="00723580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100</w:t>
            </w:r>
            <w:r w:rsidRPr="00723580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 %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(kredit%)</w:t>
            </w:r>
          </w:p>
        </w:tc>
      </w:tr>
      <w:tr w:rsidR="00DE2351" w:rsidRPr="000043B5" w14:paraId="21189110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C30F7E" w14:textId="77777777" w:rsidR="00DE2351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tanóra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1"/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típusa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723580">
              <w:rPr>
                <w:rFonts w:ascii="Playfair Display" w:eastAsia="Times New Roman" w:hAnsi="Playfair Display" w:cs="Times New Roman"/>
                <w:b/>
                <w:sz w:val="20"/>
                <w:szCs w:val="20"/>
                <w:u w:val="single"/>
                <w:lang w:eastAsia="hu-HU"/>
              </w:rPr>
              <w:t>ea</w:t>
            </w:r>
            <w:r w:rsidRPr="00DE235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. / 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zem. / </w:t>
            </w:r>
            <w:r w:rsidRPr="00723580">
              <w:rPr>
                <w:rFonts w:ascii="Playfair Display" w:eastAsia="Times New Roman" w:hAnsi="Playfair Display" w:cs="Times New Roman"/>
                <w:b/>
                <w:sz w:val="20"/>
                <w:szCs w:val="20"/>
                <w:u w:val="single"/>
                <w:lang w:eastAsia="hu-HU"/>
              </w:rPr>
              <w:t>gyak</w:t>
            </w:r>
            <w:r w:rsidRPr="00DE235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.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/ konz. és óraszáma: </w:t>
            </w:r>
          </w:p>
          <w:p w14:paraId="24362B8B" w14:textId="7C1FE87F" w:rsidR="00DE2351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- </w:t>
            </w:r>
            <w:r w:rsidR="00E2684F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24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 előadás nappali munkarend, …</w:t>
            </w:r>
            <w:r w:rsidR="00E2684F" w:rsidRPr="0001769D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12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…..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 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előadás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levelező munkarend az adott félévben,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illetve</w:t>
            </w:r>
          </w:p>
          <w:p w14:paraId="4D313402" w14:textId="52D49BC2" w:rsidR="00DE2351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- </w:t>
            </w:r>
            <w:r w:rsidR="002570FD" w:rsidRPr="002570FD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9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 gyakorlat nappali munkarend, </w:t>
            </w:r>
            <w:r w:rsidR="00E2684F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4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 gyakorlat levelező munkarend az adott félévben.</w:t>
            </w:r>
          </w:p>
          <w:p w14:paraId="73A519A0" w14:textId="77777777" w:rsidR="00DE2351" w:rsidRPr="000043B5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  <w:p w14:paraId="1FD4F45B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ha nem (csak) magyarul oktatják a tárgyat, akkor a 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>nyelve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:</w:t>
            </w:r>
            <w:r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-</w:t>
            </w:r>
          </w:p>
          <w:p w14:paraId="47AF09D2" w14:textId="10511FD8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adott ismeret átadásában alkalmazandó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további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sajátos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módok, jellemzők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2"/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:</w:t>
            </w:r>
            <w:r w:rsidR="00202A8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="00202A84" w:rsidRPr="00C3680A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A félév során a tárgy keretein belül az órák megoszlása a következő képpen alakul: Nappali munkarend esetén </w:t>
            </w:r>
            <w:r w:rsidR="00E2684F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12</w:t>
            </w:r>
            <w:r w:rsidR="00C3680A" w:rsidRPr="00C3680A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 óra </w:t>
            </w:r>
            <w:r w:rsidR="00E2684F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szülészet</w:t>
            </w:r>
            <w:r w:rsidR="00C3680A" w:rsidRPr="00C3680A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 elmélet, </w:t>
            </w:r>
            <w:r w:rsidR="00E2684F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12</w:t>
            </w:r>
            <w:r w:rsidR="00C3680A" w:rsidRPr="00C3680A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 óra </w:t>
            </w:r>
            <w:r w:rsidR="00E2684F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neonatológia elmélet</w:t>
            </w:r>
            <w:r w:rsidR="00C3680A" w:rsidRPr="00C3680A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, </w:t>
            </w:r>
            <w:r w:rsidR="00E2684F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9</w:t>
            </w:r>
            <w:r w:rsidR="00C3680A" w:rsidRPr="00C3680A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 óra gyakorlat. Levelező munkarend esetén </w:t>
            </w:r>
            <w:r w:rsidR="00E2684F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6</w:t>
            </w:r>
            <w:r w:rsidR="00C3680A" w:rsidRPr="00C3680A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 óra </w:t>
            </w:r>
            <w:r w:rsidR="00E2684F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szülészet</w:t>
            </w:r>
            <w:r w:rsidR="00C3680A" w:rsidRPr="00C3680A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 elmélet, </w:t>
            </w:r>
            <w:r w:rsidR="00E2684F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6</w:t>
            </w:r>
            <w:r w:rsidR="00C3680A" w:rsidRPr="00C3680A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 óra </w:t>
            </w:r>
            <w:r w:rsidR="00E2684F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neonatológia elmélet</w:t>
            </w:r>
            <w:r w:rsidR="00C3680A" w:rsidRPr="00C3680A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 és </w:t>
            </w:r>
            <w:r w:rsidR="00E2684F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4</w:t>
            </w:r>
            <w:r w:rsidR="00C3680A" w:rsidRPr="00C3680A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 óra gyakorlat.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="00202A84" w:rsidRPr="00422115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A kurzushoz </w:t>
            </w:r>
            <w:r w:rsidR="00E2684F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5</w:t>
            </w:r>
            <w:r w:rsidR="00202A84" w:rsidRPr="00422115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 óra konzultáció kapcsolódik, mely keretében </w:t>
            </w:r>
            <w:r w:rsidR="00202A84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az</w:t>
            </w:r>
            <w:r w:rsidR="00202A84" w:rsidRPr="00422115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 ismeretek elmélyítésére</w:t>
            </w:r>
            <w:r w:rsidR="00202A84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, szintetizálására</w:t>
            </w:r>
            <w:r w:rsidR="00202A84" w:rsidRPr="00422115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 nyílik lehetőség.</w:t>
            </w:r>
          </w:p>
        </w:tc>
      </w:tr>
      <w:tr w:rsidR="00DE2351" w:rsidRPr="000043B5" w14:paraId="7DF1D2D2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81C923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számonkérés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módja (</w:t>
            </w:r>
            <w:r w:rsidRPr="00C3680A">
              <w:rPr>
                <w:rFonts w:ascii="Playfair Display" w:eastAsia="Times New Roman" w:hAnsi="Playfair Display" w:cs="Times New Roman"/>
                <w:b/>
                <w:sz w:val="20"/>
                <w:szCs w:val="20"/>
                <w:u w:val="single"/>
                <w:lang w:eastAsia="hu-HU"/>
              </w:rPr>
              <w:t>koll</w:t>
            </w:r>
            <w:r w:rsidRPr="00DE235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. / gyj.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/ egyéb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vertAlign w:val="superscript"/>
                <w:lang w:eastAsia="hu-HU"/>
              </w:rPr>
              <w:footnoteReference w:id="3"/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)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kollokvium</w:t>
            </w:r>
          </w:p>
          <w:p w14:paraId="42C796D2" w14:textId="170AD9C6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ismeretellenőrzésben alkalmazandó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további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sajátos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módok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4"/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  <w:r w:rsidR="00C3680A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A szorgalmi időszakban a </w:t>
            </w:r>
            <w:r w:rsidR="00E2684F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szülészet és neonatológia</w:t>
            </w:r>
            <w:r w:rsidR="00C3680A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tananyagegységekből írásbeli dolgozat megírására kerül sor, melynek eredményei részét képezik a félév végi kollokviumi érdemjegynek.</w:t>
            </w:r>
          </w:p>
        </w:tc>
      </w:tr>
      <w:tr w:rsidR="00DE2351" w:rsidRPr="000043B5" w14:paraId="2EDF3800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1CF01" w14:textId="128CA788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tantervi helye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(hányadik félév): </w:t>
            </w:r>
            <w:r w:rsidR="00EA3E35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V</w:t>
            </w:r>
            <w:r w:rsidR="00C3680A" w:rsidRPr="00C3680A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.</w:t>
            </w:r>
          </w:p>
        </w:tc>
      </w:tr>
      <w:tr w:rsidR="00DE2351" w:rsidRPr="000043B5" w14:paraId="1779E898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741B49" w14:textId="0C16C081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Előtanulmányi feltételek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="00EA3E3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Mentőtiszti propedeutika</w:t>
            </w:r>
          </w:p>
          <w:p w14:paraId="35479DB5" w14:textId="528E999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Párhuzamos feltétel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ek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-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DE2351" w:rsidRPr="000043B5" w14:paraId="46814628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DCDFC4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Tantárgy-leírás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az elsajátítandó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ismeretanyag tömör, ugyanakkor informáló leírása</w:t>
            </w:r>
          </w:p>
        </w:tc>
      </w:tr>
      <w:tr w:rsidR="000E2149" w:rsidRPr="000043B5" w14:paraId="3E6283B5" w14:textId="77777777" w:rsidTr="00DE2351">
        <w:trPr>
          <w:trHeight w:val="347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E8E9E9" w14:textId="5DD19E42" w:rsidR="000E2149" w:rsidRPr="00060E73" w:rsidRDefault="000E2149" w:rsidP="000E2149">
            <w:pPr>
              <w:suppressAutoHyphens/>
              <w:jc w:val="both"/>
              <w:rPr>
                <w:rFonts w:ascii="Playfair Display" w:hAnsi="Playfair Display" w:cs="Times New Roman"/>
                <w:sz w:val="24"/>
                <w:szCs w:val="24"/>
              </w:rPr>
            </w:pPr>
            <w:r w:rsidRPr="00060E73">
              <w:rPr>
                <w:rFonts w:ascii="Playfair Display" w:hAnsi="Playfair Display" w:cs="Times New Roman"/>
              </w:rPr>
              <w:t xml:space="preserve">A tantárgy oktatása során a harmadik évfolyamos hallgatóknak a </w:t>
            </w:r>
            <w:r w:rsidR="00EA3E35" w:rsidRPr="00060E73">
              <w:rPr>
                <w:rFonts w:ascii="Playfair Display" w:hAnsi="Playfair Display" w:cs="Times New Roman"/>
              </w:rPr>
              <w:t>szülészet, nőgyógyászat</w:t>
            </w:r>
            <w:r w:rsidRPr="00060E73">
              <w:rPr>
                <w:rFonts w:ascii="Playfair Display" w:hAnsi="Playfair Display" w:cs="Times New Roman"/>
              </w:rPr>
              <w:t xml:space="preserve"> legfontosabb alapelemeit és azok gyakorlati vonatkozásait kell elsajátítaniuk. Elsődleges fontosságú az alapfogalmak megismerése, a diagnózisalkotás folyamatának, módszereinek elsajátítása</w:t>
            </w:r>
            <w:r w:rsidR="00EA3E35" w:rsidRPr="00060E73">
              <w:rPr>
                <w:rFonts w:ascii="Playfair Display" w:hAnsi="Playfair Display" w:cs="Times New Roman"/>
              </w:rPr>
              <w:t>. A tantárgy ismerteti a nőgyógyászati kórképek létrejöttének anatómiai, élettani, kórélettani és patológiai alapjait, a nőgyógyászati megbetegedések etiológiáját, tünettanát, diagnosztikáját, differenciál diagnosztikáját és a terápiás lehetőségeket. A tantárgy feladata, hogy lehetővé tegye a mentőtiszthallgatók számára a sürgősségi ellátáshoz szükséges alapvető nőgyógyászati, neonatológiai ismeretek elsajátítását.</w:t>
            </w:r>
          </w:p>
        </w:tc>
      </w:tr>
      <w:tr w:rsidR="000E2149" w:rsidRPr="000043B5" w14:paraId="5CC590D6" w14:textId="77777777" w:rsidTr="00DE2351">
        <w:trPr>
          <w:trHeight w:val="388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639E87" w14:textId="721FD7FD" w:rsidR="000E2149" w:rsidRPr="000043B5" w:rsidRDefault="000E2149" w:rsidP="000E2149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részletes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tematikája nappali képzés</w:t>
            </w:r>
          </w:p>
        </w:tc>
      </w:tr>
      <w:tr w:rsidR="000E2149" w:rsidRPr="000043B5" w14:paraId="70C44811" w14:textId="77777777" w:rsidTr="00DE2351">
        <w:trPr>
          <w:trHeight w:val="56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523BE2" w14:textId="18118C5E" w:rsidR="000E2149" w:rsidRPr="000043B5" w:rsidRDefault="000E2149" w:rsidP="000E2149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6018" w14:textId="7442BF2C" w:rsidR="000E2149" w:rsidRPr="000043B5" w:rsidRDefault="000E2149" w:rsidP="000E2149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D40296" w:rsidRPr="000043B5" w14:paraId="78CC8F8C" w14:textId="77777777" w:rsidTr="00DE2351">
        <w:trPr>
          <w:trHeight w:val="37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9B70E5" w14:textId="307A70CC" w:rsidR="00D40296" w:rsidRPr="000043B5" w:rsidRDefault="00C07963" w:rsidP="00D40296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</w:t>
            </w:r>
            <w:r w:rsidR="00D4029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0339" w14:textId="240CBD79" w:rsidR="00D40296" w:rsidRPr="000043B5" w:rsidRDefault="00D40296" w:rsidP="00D4029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4F30C3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Sürgősségi ellátást igénylő nőgyógyászati megbetegedések, ezek ellátása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</w:t>
            </w:r>
            <w:r w:rsidR="00C07963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óra)</w:t>
            </w:r>
          </w:p>
        </w:tc>
      </w:tr>
      <w:tr w:rsidR="00D40296" w:rsidRPr="000043B5" w14:paraId="07A3ED62" w14:textId="77777777" w:rsidTr="00DE2351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ABF926" w14:textId="6C2D3EAD" w:rsidR="00D40296" w:rsidRPr="000043B5" w:rsidRDefault="00C07963" w:rsidP="00D40296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lastRenderedPageBreak/>
              <w:t>2</w:t>
            </w:r>
            <w:r w:rsidR="00D4029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3D5D" w14:textId="419AB872" w:rsidR="00D40296" w:rsidRPr="000043B5" w:rsidRDefault="00D40296" w:rsidP="00D4029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4029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 terhesség élettana. Anyai betegségek a várandósság alatt</w:t>
            </w:r>
            <w:r w:rsidR="00C07963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(4 óra)</w:t>
            </w:r>
          </w:p>
        </w:tc>
      </w:tr>
      <w:tr w:rsidR="00D40296" w:rsidRPr="000043B5" w14:paraId="7800E398" w14:textId="77777777" w:rsidTr="00DE2351">
        <w:trPr>
          <w:trHeight w:val="30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D67EDA" w14:textId="576D4E50" w:rsidR="00D40296" w:rsidRPr="000043B5" w:rsidRDefault="00C07963" w:rsidP="00D40296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3</w:t>
            </w:r>
            <w:r w:rsidR="00D4029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8534" w14:textId="69082E33" w:rsidR="00D40296" w:rsidRPr="000043B5" w:rsidRDefault="00D40296" w:rsidP="00D4029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4029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Terhespathológia</w:t>
            </w:r>
            <w:r w:rsidR="00C07963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(4 óra)</w:t>
            </w:r>
          </w:p>
        </w:tc>
      </w:tr>
      <w:tr w:rsidR="00D40296" w:rsidRPr="000043B5" w14:paraId="2A9F19C1" w14:textId="77777777" w:rsidTr="00DE2351">
        <w:trPr>
          <w:trHeight w:val="28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2837E7" w14:textId="2F722849" w:rsidR="00D40296" w:rsidRPr="000043B5" w:rsidRDefault="00C07963" w:rsidP="00D40296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</w:t>
            </w:r>
            <w:r w:rsidR="00D4029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9905" w14:textId="52B0A8A5" w:rsidR="00D40296" w:rsidRPr="000043B5" w:rsidRDefault="00D40296" w:rsidP="00D4029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4029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Normál és kóros szülés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</w:t>
            </w:r>
            <w:r w:rsidR="00C07963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óra)</w:t>
            </w:r>
          </w:p>
        </w:tc>
      </w:tr>
      <w:tr w:rsidR="00D40296" w:rsidRPr="000043B5" w14:paraId="54380411" w14:textId="77777777" w:rsidTr="00DE2351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ABB8C9" w14:textId="58F31B77" w:rsidR="00D40296" w:rsidRPr="000043B5" w:rsidRDefault="00C07963" w:rsidP="00D40296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5</w:t>
            </w:r>
            <w:r w:rsidR="00D4029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6A7D" w14:textId="3B11A855" w:rsidR="00D40296" w:rsidRPr="000043B5" w:rsidRDefault="00D40296" w:rsidP="00D40296">
            <w:pPr>
              <w:tabs>
                <w:tab w:val="left" w:pos="1632"/>
              </w:tabs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4029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Neonatológia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</w:t>
            </w:r>
            <w:r w:rsidR="00C07963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óra)</w:t>
            </w:r>
          </w:p>
        </w:tc>
      </w:tr>
      <w:tr w:rsidR="00D40296" w:rsidRPr="000043B5" w14:paraId="762C3C26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255333" w14:textId="7D488451" w:rsidR="00D40296" w:rsidRPr="000043B5" w:rsidRDefault="00C07963" w:rsidP="00D40296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6</w:t>
            </w:r>
            <w:r w:rsidR="00D4029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6186" w14:textId="7E722EFB" w:rsidR="00D40296" w:rsidRPr="000043B5" w:rsidRDefault="00D40296" w:rsidP="00D4029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4029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Ikerterhesség, ikerszülés, koraszülés</w:t>
            </w:r>
            <w:r w:rsidR="00C07963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(4 óra)</w:t>
            </w:r>
          </w:p>
        </w:tc>
      </w:tr>
      <w:tr w:rsidR="00D40296" w:rsidRPr="000043B5" w14:paraId="5270883C" w14:textId="77777777" w:rsidTr="00DE2351">
        <w:trPr>
          <w:trHeight w:val="327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E92655" w14:textId="207524AA" w:rsidR="00D40296" w:rsidRPr="000043B5" w:rsidRDefault="00D40296" w:rsidP="00D40296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részletes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tematikája levelező képzés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</w:p>
        </w:tc>
      </w:tr>
      <w:tr w:rsidR="00D40296" w:rsidRPr="000043B5" w14:paraId="40D4DDB9" w14:textId="77777777" w:rsidTr="00DE2351">
        <w:trPr>
          <w:trHeight w:val="49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273B4A" w14:textId="7DC56090" w:rsidR="00D40296" w:rsidRPr="00DE2351" w:rsidRDefault="00D40296" w:rsidP="00D40296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0EDC" w14:textId="09BB8E61" w:rsidR="00D40296" w:rsidRPr="00DE2351" w:rsidRDefault="00D40296" w:rsidP="00D40296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D40296" w:rsidRPr="000043B5" w14:paraId="6D699DBA" w14:textId="77777777" w:rsidTr="00DE2351">
        <w:trPr>
          <w:trHeight w:val="35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AEA5AA" w14:textId="69FCA73A" w:rsidR="00D40296" w:rsidRPr="000043B5" w:rsidRDefault="00D40296" w:rsidP="00D40296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3E88" w14:textId="0AC6A499" w:rsidR="00D40296" w:rsidRPr="000043B5" w:rsidRDefault="00C07963" w:rsidP="00D40296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4F30C3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Sürgősségi ellátást igénylő nőgyógyászati megbetegedések, ezek ellátása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(2 óra)</w:t>
            </w:r>
          </w:p>
        </w:tc>
      </w:tr>
      <w:tr w:rsidR="00C07963" w:rsidRPr="000043B5" w14:paraId="1D1EEB99" w14:textId="77777777" w:rsidTr="00DE2351">
        <w:trPr>
          <w:trHeight w:val="30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4AC6D7" w14:textId="4AA1E8A3" w:rsidR="00C07963" w:rsidRPr="000043B5" w:rsidRDefault="00C07963" w:rsidP="00C07963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E520" w14:textId="4B8D7BC4" w:rsidR="00C07963" w:rsidRPr="000043B5" w:rsidRDefault="00C07963" w:rsidP="00C07963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4029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 terhesség élettana. Anyai betegségek a várandósság alatt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(2 óra)</w:t>
            </w:r>
          </w:p>
        </w:tc>
      </w:tr>
      <w:tr w:rsidR="00C07963" w:rsidRPr="000043B5" w14:paraId="272E013C" w14:textId="77777777" w:rsidTr="00DE2351">
        <w:trPr>
          <w:trHeight w:val="296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410082" w14:textId="5C4B87BE" w:rsidR="00C07963" w:rsidRPr="000043B5" w:rsidRDefault="00C07963" w:rsidP="00C07963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6BBD" w14:textId="4932BA7F" w:rsidR="00C07963" w:rsidRPr="000043B5" w:rsidRDefault="00C07963" w:rsidP="00C07963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4029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Terhespathológia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(2 óra)</w:t>
            </w:r>
          </w:p>
        </w:tc>
      </w:tr>
      <w:tr w:rsidR="00C07963" w:rsidRPr="000043B5" w14:paraId="14D4BF0A" w14:textId="77777777" w:rsidTr="00DE2351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F230E4" w14:textId="20111552" w:rsidR="00C07963" w:rsidRPr="000043B5" w:rsidRDefault="00C07963" w:rsidP="00C07963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AC88" w14:textId="618CE3ED" w:rsidR="00C07963" w:rsidRPr="000043B5" w:rsidRDefault="00C07963" w:rsidP="00C07963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4029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Normál és kóros szülés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(2 óra)</w:t>
            </w:r>
          </w:p>
        </w:tc>
      </w:tr>
      <w:tr w:rsidR="00C07963" w:rsidRPr="000043B5" w14:paraId="31C7015C" w14:textId="77777777" w:rsidTr="00DE2351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BD7071" w14:textId="76637271" w:rsidR="00C07963" w:rsidRDefault="00C07963" w:rsidP="00C07963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83FB" w14:textId="218C4F73" w:rsidR="00C07963" w:rsidRPr="004F30C3" w:rsidRDefault="00C07963" w:rsidP="00C07963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4029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Neonatológia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(2 óra)</w:t>
            </w:r>
          </w:p>
        </w:tc>
      </w:tr>
      <w:tr w:rsidR="00C07963" w:rsidRPr="000043B5" w14:paraId="63822D85" w14:textId="77777777" w:rsidTr="00DE2351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963F72" w14:textId="2053B39B" w:rsidR="00C07963" w:rsidRDefault="00C07963" w:rsidP="00C07963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FE3C" w14:textId="45BC5FF9" w:rsidR="00C07963" w:rsidRPr="004F30C3" w:rsidRDefault="00C07963" w:rsidP="00C07963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40296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Ikerterhesség, ikerszülés, koraszülés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(2 óra)</w:t>
            </w:r>
          </w:p>
        </w:tc>
      </w:tr>
      <w:tr w:rsidR="00D40296" w:rsidRPr="000043B5" w14:paraId="7BBDF4F7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B1B01C" w14:textId="77777777" w:rsidR="00D40296" w:rsidRPr="000043B5" w:rsidRDefault="00D40296" w:rsidP="00D40296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2-5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legfontosabb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kötelező,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illetve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ajánlott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irodalom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D40296" w:rsidRPr="000043B5" w14:paraId="61F57441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995AF9" w14:textId="77777777" w:rsidR="00D40296" w:rsidRDefault="00D40296" w:rsidP="00D40296">
            <w:pPr>
              <w:spacing w:line="276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Kötelező: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</w:p>
          <w:p w14:paraId="0B1858E1" w14:textId="77777777" w:rsidR="00D40296" w:rsidRPr="00060E73" w:rsidRDefault="00D40296" w:rsidP="00D40296">
            <w:pPr>
              <w:suppressAutoHyphens/>
              <w:rPr>
                <w:rFonts w:ascii="Playfair Display" w:hAnsi="Playfair Display" w:cs="Times New Roman"/>
                <w:color w:val="000000" w:themeColor="text1"/>
                <w:sz w:val="20"/>
                <w:szCs w:val="20"/>
                <w:lang w:val="en-GB"/>
              </w:rPr>
            </w:pPr>
            <w:r w:rsidRPr="00060E73">
              <w:rPr>
                <w:rFonts w:ascii="Playfair Display" w:eastAsia="Times New Roman" w:hAnsi="Playfair Display" w:cs="Times New Roman"/>
                <w:b/>
                <w:sz w:val="16"/>
                <w:szCs w:val="16"/>
                <w:lang w:eastAsia="hu-HU"/>
              </w:rPr>
              <w:t>-</w:t>
            </w:r>
            <w:r w:rsidRPr="00060E73">
              <w:rPr>
                <w:rFonts w:ascii="Playfair Display" w:hAnsi="Playfair Display" w:cs="Times New Roman"/>
                <w:color w:val="000000" w:themeColor="text1"/>
                <w:sz w:val="20"/>
                <w:szCs w:val="20"/>
                <w:lang w:val="en-GB"/>
              </w:rPr>
              <w:t>Papp Zoltán: A szülészet-nőgyógyászat tankönyve. 5. kiadás, Semmelweis Kiadó, Budapest, 2017.</w:t>
            </w:r>
          </w:p>
          <w:p w14:paraId="3E138605" w14:textId="6F6E8227" w:rsidR="00D40296" w:rsidRPr="00060E73" w:rsidRDefault="00D40296" w:rsidP="00D40296">
            <w:pPr>
              <w:suppressAutoHyphens/>
              <w:rPr>
                <w:rFonts w:ascii="Playfair Display" w:hAnsi="Playfair Display" w:cs="Times New Roman"/>
                <w:sz w:val="18"/>
                <w:szCs w:val="18"/>
              </w:rPr>
            </w:pPr>
            <w:r w:rsidRPr="00060E73">
              <w:rPr>
                <w:rFonts w:ascii="Playfair Display" w:hAnsi="Playfair Display" w:cs="Times New Roman"/>
                <w:sz w:val="20"/>
                <w:szCs w:val="20"/>
              </w:rPr>
              <w:t>- Tanórán elhangzott előadásanyag</w:t>
            </w:r>
            <w:r>
              <w:rPr>
                <w:rFonts w:ascii="Playfair Display" w:hAnsi="Playfair Display" w:cs="Times New Roman"/>
                <w:sz w:val="20"/>
                <w:szCs w:val="20"/>
              </w:rPr>
              <w:t>.</w:t>
            </w:r>
          </w:p>
          <w:p w14:paraId="0E0947E2" w14:textId="370879B8" w:rsidR="00D40296" w:rsidRDefault="00D40296" w:rsidP="00D40296">
            <w:pPr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Ajánlott:</w:t>
            </w:r>
          </w:p>
          <w:p w14:paraId="07070174" w14:textId="77777777" w:rsidR="00D40296" w:rsidRPr="00060E73" w:rsidRDefault="00D40296" w:rsidP="00D40296">
            <w:pPr>
              <w:spacing w:after="0" w:line="240" w:lineRule="auto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060E73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Papp Zoltán: A Várandósgondozás kézikönyve; szerk. Papp Zoltán, Medicina Könyvkiadó Zrt., 2016.</w:t>
            </w:r>
          </w:p>
          <w:p w14:paraId="32CF6F78" w14:textId="77777777" w:rsidR="00D40296" w:rsidRPr="00060E73" w:rsidRDefault="00D40296" w:rsidP="00D40296">
            <w:pPr>
              <w:spacing w:after="0" w:line="240" w:lineRule="auto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060E73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- Papp Zoltán: A perinatológia kézikönyve; szerk. Papp Zoltán, Medicina Könyvkiadó Zrt., 2016.</w:t>
            </w:r>
          </w:p>
          <w:p w14:paraId="5AF42E80" w14:textId="77777777" w:rsidR="00D40296" w:rsidRPr="00060E73" w:rsidRDefault="00D40296" w:rsidP="00D40296">
            <w:pPr>
              <w:spacing w:after="0" w:line="240" w:lineRule="auto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060E73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- Papp Zoltán: A nőgyógyászat kézikönyve; szerk. Papp Zoltán, Medicina Könyvkiadó Zrt., 2016.</w:t>
            </w:r>
          </w:p>
          <w:p w14:paraId="5B326B1F" w14:textId="64A8D185" w:rsidR="00D40296" w:rsidRPr="00060E73" w:rsidRDefault="00D40296" w:rsidP="00D40296">
            <w:pPr>
              <w:spacing w:after="0" w:line="240" w:lineRule="auto"/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</w:pPr>
            <w:r w:rsidRPr="00060E73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- Pál Attila: A szülészet-nőgyógyászat egyetemi tankönyve; szerk. Pál Attila, Medicina Zrt . 2014</w:t>
            </w:r>
          </w:p>
          <w:p w14:paraId="6E9EECF5" w14:textId="0843207E" w:rsidR="00D40296" w:rsidRPr="000043B5" w:rsidRDefault="00D40296" w:rsidP="00D40296">
            <w:pPr>
              <w:spacing w:after="0" w:line="240" w:lineRule="auto"/>
              <w:ind w:left="360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</w:tr>
      <w:tr w:rsidR="00D40296" w:rsidRPr="000043B5" w14:paraId="7B01CCD3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79C831" w14:textId="77777777" w:rsidR="00D40296" w:rsidRPr="000043B5" w:rsidRDefault="00D40296" w:rsidP="00D40296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Azoknak az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előírt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s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zakmai kompetenciáknak, kompetencia-elemeknek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stb.,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a felsorolása,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amelyek kialakításához a tantárgy jellemzően, érdemben hozzájárul</w:t>
            </w:r>
          </w:p>
        </w:tc>
      </w:tr>
      <w:tr w:rsidR="00D40296" w:rsidRPr="000043B5" w14:paraId="20FD1AD0" w14:textId="77777777" w:rsidTr="00DE2351">
        <w:trPr>
          <w:trHeight w:val="296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1BB05E" w14:textId="08697F87" w:rsidR="00D40296" w:rsidRPr="001B7BFD" w:rsidRDefault="00D40296" w:rsidP="00D40296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lang w:eastAsia="hu-HU"/>
              </w:rPr>
            </w:pPr>
            <w:r w:rsidRPr="001B7BFD">
              <w:rPr>
                <w:rFonts w:ascii="Playfair Display" w:eastAsia="Times New Roman" w:hAnsi="Playfair Display" w:cs="Times New Roman"/>
                <w:b/>
                <w:lang w:eastAsia="hu-HU"/>
              </w:rPr>
              <w:t>a) tudása:</w:t>
            </w:r>
          </w:p>
          <w:p w14:paraId="686D7B6E" w14:textId="77777777" w:rsidR="00D40296" w:rsidRPr="001B7BFD" w:rsidRDefault="00D40296" w:rsidP="00D40296">
            <w:pPr>
              <w:pStyle w:val="NormlWeb"/>
              <w:ind w:left="380" w:hanging="380"/>
              <w:jc w:val="both"/>
              <w:rPr>
                <w:rFonts w:ascii="Playfair Display" w:hAnsi="Playfair Display"/>
                <w:sz w:val="22"/>
                <w:szCs w:val="22"/>
              </w:rPr>
            </w:pPr>
            <w:r w:rsidRPr="001B7BFD">
              <w:rPr>
                <w:rFonts w:ascii="Playfair Display" w:hAnsi="Playfair Display"/>
                <w:sz w:val="22"/>
                <w:szCs w:val="22"/>
              </w:rPr>
              <w:t>- Ismeri a betegvizsgálattal kapcsolatos alapfogalmakat.</w:t>
            </w:r>
          </w:p>
          <w:p w14:paraId="4B252060" w14:textId="77777777" w:rsidR="00D40296" w:rsidRPr="001B7BFD" w:rsidRDefault="00D40296" w:rsidP="00D40296">
            <w:pPr>
              <w:pStyle w:val="NormlWeb"/>
              <w:ind w:left="380" w:hanging="380"/>
              <w:jc w:val="both"/>
              <w:rPr>
                <w:rFonts w:ascii="Playfair Display" w:hAnsi="Playfair Display"/>
                <w:sz w:val="22"/>
                <w:szCs w:val="22"/>
              </w:rPr>
            </w:pPr>
            <w:r w:rsidRPr="001B7BFD">
              <w:rPr>
                <w:rFonts w:ascii="Playfair Display" w:hAnsi="Playfair Display"/>
                <w:sz w:val="22"/>
                <w:szCs w:val="22"/>
              </w:rPr>
              <w:t>- Ismeri a diagnózisalkotás menetét, annak módszereit.</w:t>
            </w:r>
          </w:p>
          <w:p w14:paraId="6A57CE8D" w14:textId="77777777" w:rsidR="00D40296" w:rsidRPr="001B7BFD" w:rsidRDefault="00D40296" w:rsidP="00D40296">
            <w:pPr>
              <w:pStyle w:val="NormlWeb"/>
              <w:ind w:left="380" w:hanging="380"/>
              <w:jc w:val="both"/>
              <w:rPr>
                <w:rFonts w:ascii="Playfair Display" w:hAnsi="Playfair Display"/>
                <w:sz w:val="22"/>
                <w:szCs w:val="22"/>
              </w:rPr>
            </w:pPr>
            <w:r w:rsidRPr="001B7BFD">
              <w:rPr>
                <w:rFonts w:ascii="Playfair Display" w:hAnsi="Playfair Display"/>
                <w:sz w:val="22"/>
                <w:szCs w:val="22"/>
              </w:rPr>
              <w:t>- Ismeri az anamnézisfelvétel menetét és jelentőségét.</w:t>
            </w:r>
          </w:p>
          <w:p w14:paraId="459BE298" w14:textId="77777777" w:rsidR="00D40296" w:rsidRPr="001B7BFD" w:rsidRDefault="00D40296" w:rsidP="00D40296">
            <w:pPr>
              <w:pStyle w:val="NormlWeb"/>
              <w:ind w:left="380" w:hanging="380"/>
              <w:jc w:val="both"/>
              <w:rPr>
                <w:rFonts w:ascii="Playfair Display" w:hAnsi="Playfair Display"/>
                <w:sz w:val="22"/>
                <w:szCs w:val="22"/>
              </w:rPr>
            </w:pPr>
            <w:r w:rsidRPr="001B7BFD">
              <w:rPr>
                <w:rFonts w:ascii="Playfair Display" w:hAnsi="Playfair Display"/>
                <w:sz w:val="22"/>
                <w:szCs w:val="22"/>
              </w:rPr>
              <w:t>- Ismeri a különböző fizikális vizsgálati módszerek kivitelezésének módját.</w:t>
            </w:r>
          </w:p>
          <w:p w14:paraId="1DD14CDB" w14:textId="0D7BBD96" w:rsidR="00D40296" w:rsidRPr="001B7BFD" w:rsidRDefault="00D40296" w:rsidP="00D40296">
            <w:pPr>
              <w:pStyle w:val="NormlWeb"/>
              <w:ind w:left="380" w:hanging="380"/>
              <w:jc w:val="both"/>
              <w:rPr>
                <w:rFonts w:ascii="Playfair Display" w:hAnsi="Playfair Display"/>
                <w:sz w:val="22"/>
                <w:szCs w:val="22"/>
              </w:rPr>
            </w:pPr>
            <w:r w:rsidRPr="001B7BFD">
              <w:rPr>
                <w:rFonts w:ascii="Playfair Display" w:hAnsi="Playfair Display"/>
                <w:sz w:val="22"/>
                <w:szCs w:val="22"/>
              </w:rPr>
              <w:lastRenderedPageBreak/>
              <w:t>- Ismeri az egyes testtájakhoz, szervrendszerekhez köthető megbetegedések,kórfolyamatok jellemzőit, valamint az alkalmazott vizsgálatok módját.</w:t>
            </w:r>
          </w:p>
          <w:p w14:paraId="017E205D" w14:textId="77777777" w:rsidR="00D40296" w:rsidRPr="001B7BFD" w:rsidRDefault="00D40296" w:rsidP="00D40296">
            <w:pPr>
              <w:pStyle w:val="NormlWeb"/>
              <w:ind w:left="380" w:hanging="380"/>
              <w:jc w:val="both"/>
              <w:rPr>
                <w:rFonts w:ascii="Playfair Display" w:hAnsi="Playfair Display"/>
                <w:sz w:val="22"/>
                <w:szCs w:val="22"/>
                <w:highlight w:val="yellow"/>
              </w:rPr>
            </w:pPr>
            <w:r w:rsidRPr="001B7BFD">
              <w:rPr>
                <w:rFonts w:ascii="Playfair Display" w:hAnsi="Playfair Display"/>
                <w:sz w:val="22"/>
                <w:szCs w:val="22"/>
              </w:rPr>
              <w:t>- Ismeri a nőgyógyászati alapfogalmakat, valamint a sürgősségi ellátást igénylő nőgyógyászati kórképeket, ezek vizsgálatának és ellátásának módszereit.</w:t>
            </w:r>
          </w:p>
          <w:p w14:paraId="3E2E64EA" w14:textId="064006D4" w:rsidR="00D40296" w:rsidRPr="001B7BFD" w:rsidRDefault="00D40296" w:rsidP="00D40296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lang w:eastAsia="hu-HU"/>
              </w:rPr>
            </w:pPr>
          </w:p>
          <w:p w14:paraId="14E2454B" w14:textId="32F3C21A" w:rsidR="00D40296" w:rsidRPr="001B7BFD" w:rsidRDefault="00D40296" w:rsidP="00D40296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lang w:eastAsia="hu-HU"/>
              </w:rPr>
            </w:pPr>
            <w:r w:rsidRPr="001B7BFD">
              <w:rPr>
                <w:rFonts w:ascii="Playfair Display" w:eastAsia="Times New Roman" w:hAnsi="Playfair Display" w:cs="Times New Roman"/>
                <w:b/>
                <w:lang w:eastAsia="hu-HU"/>
              </w:rPr>
              <w:t>b) képességei:</w:t>
            </w:r>
          </w:p>
          <w:p w14:paraId="2CE5D8E1" w14:textId="77777777" w:rsidR="00D40296" w:rsidRPr="001B7BFD" w:rsidRDefault="00D40296" w:rsidP="00D40296">
            <w:pPr>
              <w:pStyle w:val="NormlWeb"/>
              <w:ind w:left="380" w:hanging="380"/>
              <w:jc w:val="both"/>
              <w:rPr>
                <w:rFonts w:ascii="Playfair Display" w:hAnsi="Playfair Display"/>
                <w:sz w:val="22"/>
                <w:szCs w:val="22"/>
              </w:rPr>
            </w:pPr>
            <w:r w:rsidRPr="001B7BFD">
              <w:rPr>
                <w:rFonts w:ascii="Playfair Display" w:hAnsi="Playfair Display"/>
                <w:sz w:val="22"/>
                <w:szCs w:val="22"/>
              </w:rPr>
              <w:t>- Képes a megszerzett információk alapján csoportdiagnózis megalkotására.</w:t>
            </w:r>
          </w:p>
          <w:p w14:paraId="08BDF161" w14:textId="77777777" w:rsidR="00D40296" w:rsidRPr="001B7BFD" w:rsidRDefault="00D40296" w:rsidP="00D40296">
            <w:pPr>
              <w:pStyle w:val="NormlWeb"/>
              <w:ind w:left="380" w:hanging="380"/>
              <w:jc w:val="both"/>
              <w:rPr>
                <w:rFonts w:ascii="Playfair Display" w:hAnsi="Playfair Display"/>
                <w:sz w:val="22"/>
                <w:szCs w:val="22"/>
              </w:rPr>
            </w:pPr>
            <w:r w:rsidRPr="001B7BFD">
              <w:rPr>
                <w:rFonts w:ascii="Playfair Display" w:hAnsi="Playfair Display"/>
                <w:sz w:val="22"/>
                <w:szCs w:val="22"/>
              </w:rPr>
              <w:t>- Képes az ABCDE-alapelv alapján a beteg/sérült megvizsgálására.</w:t>
            </w:r>
          </w:p>
          <w:p w14:paraId="79E1CE35" w14:textId="77777777" w:rsidR="00D40296" w:rsidRPr="001B7BFD" w:rsidRDefault="00D40296" w:rsidP="00D40296">
            <w:pPr>
              <w:pStyle w:val="NormlWeb"/>
              <w:ind w:left="380" w:hanging="380"/>
              <w:jc w:val="both"/>
              <w:rPr>
                <w:rFonts w:ascii="Playfair Display" w:hAnsi="Playfair Display"/>
                <w:sz w:val="22"/>
                <w:szCs w:val="22"/>
              </w:rPr>
            </w:pPr>
            <w:r w:rsidRPr="001B7BFD">
              <w:rPr>
                <w:rFonts w:ascii="Playfair Display" w:hAnsi="Playfair Display"/>
                <w:sz w:val="22"/>
                <w:szCs w:val="22"/>
              </w:rPr>
              <w:t>- Képes anamnézis felvételére.</w:t>
            </w:r>
          </w:p>
          <w:p w14:paraId="66B0BB64" w14:textId="77777777" w:rsidR="00D40296" w:rsidRPr="001B7BFD" w:rsidRDefault="00D40296" w:rsidP="00D40296">
            <w:pPr>
              <w:pStyle w:val="NormlWeb"/>
              <w:ind w:left="380" w:hanging="380"/>
              <w:jc w:val="both"/>
              <w:rPr>
                <w:rFonts w:ascii="Playfair Display" w:hAnsi="Playfair Display"/>
                <w:sz w:val="22"/>
                <w:szCs w:val="22"/>
              </w:rPr>
            </w:pPr>
            <w:r w:rsidRPr="001B7BFD">
              <w:rPr>
                <w:rFonts w:ascii="Playfair Display" w:hAnsi="Playfair Display"/>
                <w:sz w:val="22"/>
                <w:szCs w:val="22"/>
              </w:rPr>
              <w:t>- Képes a különböző fizikális vizsgálati módszerek helyes kivitelezésére, az így szerzett információk felhasználására.</w:t>
            </w:r>
          </w:p>
          <w:p w14:paraId="2511DA26" w14:textId="77777777" w:rsidR="00D40296" w:rsidRPr="001B7BFD" w:rsidRDefault="00D40296" w:rsidP="00D40296">
            <w:pPr>
              <w:pStyle w:val="NormlWeb"/>
              <w:ind w:left="380" w:hanging="380"/>
              <w:jc w:val="both"/>
              <w:rPr>
                <w:rFonts w:ascii="Playfair Display" w:hAnsi="Playfair Display"/>
                <w:sz w:val="22"/>
                <w:szCs w:val="22"/>
              </w:rPr>
            </w:pPr>
            <w:r w:rsidRPr="001B7BFD">
              <w:rPr>
                <w:rFonts w:ascii="Playfair Display" w:hAnsi="Playfair Display"/>
                <w:sz w:val="22"/>
                <w:szCs w:val="22"/>
              </w:rPr>
              <w:t>- Képes az egyes testtájakhoz, szervrendszerekhez kötődő betegségek felismerésére, a beteg megvizsgálására.</w:t>
            </w:r>
          </w:p>
          <w:p w14:paraId="635FA2D0" w14:textId="00B24AAB" w:rsidR="00C07963" w:rsidRPr="001B7BFD" w:rsidRDefault="00C07963" w:rsidP="00C07963">
            <w:pPr>
              <w:pStyle w:val="NormlWeb"/>
              <w:ind w:left="380" w:hanging="380"/>
              <w:jc w:val="both"/>
              <w:rPr>
                <w:rFonts w:ascii="Playfair Display" w:hAnsi="Playfair Display"/>
                <w:sz w:val="22"/>
                <w:szCs w:val="22"/>
              </w:rPr>
            </w:pPr>
            <w:r w:rsidRPr="001B7BFD">
              <w:rPr>
                <w:rFonts w:ascii="Playfair Display" w:hAnsi="Playfair Display"/>
                <w:sz w:val="22"/>
                <w:szCs w:val="22"/>
              </w:rPr>
              <w:t>-</w:t>
            </w:r>
            <w:r w:rsidRPr="001B7BFD">
              <w:rPr>
                <w:rFonts w:ascii="Playfair Display" w:hAnsi="Playfair Display"/>
                <w:sz w:val="22"/>
                <w:szCs w:val="22"/>
              </w:rPr>
              <w:tab/>
              <w:t xml:space="preserve">Képes komplikációmentes szülés levezetésére, a komplikációk felismerésére, azok következményeinek minimalizálására. </w:t>
            </w:r>
          </w:p>
          <w:p w14:paraId="38EAB015" w14:textId="52E741A9" w:rsidR="00D40296" w:rsidRPr="001B7BFD" w:rsidRDefault="00C07963" w:rsidP="00C07963">
            <w:pPr>
              <w:pStyle w:val="NormlWeb"/>
              <w:ind w:left="380" w:hanging="380"/>
              <w:jc w:val="both"/>
              <w:rPr>
                <w:rFonts w:ascii="Playfair Display" w:hAnsi="Playfair Display"/>
                <w:sz w:val="22"/>
                <w:szCs w:val="22"/>
              </w:rPr>
            </w:pPr>
            <w:r w:rsidRPr="001B7BFD">
              <w:rPr>
                <w:rFonts w:ascii="Playfair Display" w:hAnsi="Playfair Display"/>
                <w:sz w:val="22"/>
                <w:szCs w:val="22"/>
              </w:rPr>
              <w:t>-</w:t>
            </w:r>
            <w:r w:rsidRPr="001B7BFD">
              <w:rPr>
                <w:rFonts w:ascii="Playfair Display" w:hAnsi="Playfair Display"/>
                <w:sz w:val="22"/>
                <w:szCs w:val="22"/>
              </w:rPr>
              <w:tab/>
              <w:t xml:space="preserve">Az újszülöttet szakszerűen ellátja, a szülés és születés körüli vészhelyzeteket elhárítja. </w:t>
            </w:r>
          </w:p>
          <w:p w14:paraId="1E71EC06" w14:textId="77777777" w:rsidR="00D40296" w:rsidRPr="001B7BFD" w:rsidRDefault="00D40296" w:rsidP="00D40296">
            <w:pPr>
              <w:pStyle w:val="NormlWeb"/>
              <w:ind w:left="380" w:hanging="380"/>
              <w:jc w:val="both"/>
              <w:rPr>
                <w:rFonts w:ascii="Playfair Display" w:hAnsi="Playfair Display"/>
                <w:sz w:val="22"/>
                <w:szCs w:val="22"/>
              </w:rPr>
            </w:pPr>
            <w:r w:rsidRPr="001B7BFD">
              <w:rPr>
                <w:rFonts w:ascii="Playfair Display" w:hAnsi="Playfair Display"/>
                <w:sz w:val="22"/>
                <w:szCs w:val="22"/>
              </w:rPr>
              <w:t>- Képes a nőgyógyászati jellegű megbetegedések, történések felismerésére.</w:t>
            </w:r>
          </w:p>
          <w:p w14:paraId="0DFB46BF" w14:textId="77777777" w:rsidR="00D40296" w:rsidRPr="001B7BFD" w:rsidRDefault="00D40296" w:rsidP="00D40296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lang w:eastAsia="hu-HU"/>
              </w:rPr>
            </w:pPr>
          </w:p>
          <w:p w14:paraId="7BD5B997" w14:textId="4C6A3B3B" w:rsidR="00D40296" w:rsidRPr="001B7BFD" w:rsidRDefault="00D40296" w:rsidP="00D40296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contextualSpacing/>
              <w:rPr>
                <w:rFonts w:ascii="Playfair Display" w:eastAsia="Times New Roman" w:hAnsi="Playfair Display" w:cs="Times New Roman"/>
                <w:b/>
                <w:lang w:eastAsia="hu-HU"/>
              </w:rPr>
            </w:pPr>
            <w:r w:rsidRPr="001B7BFD">
              <w:rPr>
                <w:rFonts w:ascii="Playfair Display" w:eastAsia="Times New Roman" w:hAnsi="Playfair Display" w:cs="Times New Roman"/>
                <w:b/>
                <w:lang w:eastAsia="hu-HU"/>
              </w:rPr>
              <w:t>attitűd:</w:t>
            </w:r>
          </w:p>
          <w:p w14:paraId="47A9CF06" w14:textId="3D4B04CB" w:rsidR="00D40296" w:rsidRPr="001B7BFD" w:rsidRDefault="00D40296" w:rsidP="00D40296">
            <w:pPr>
              <w:pStyle w:val="NormlWeb"/>
              <w:ind w:left="380" w:hanging="380"/>
              <w:jc w:val="both"/>
              <w:rPr>
                <w:rFonts w:ascii="Playfair Display" w:hAnsi="Playfair Display"/>
                <w:sz w:val="22"/>
                <w:szCs w:val="22"/>
              </w:rPr>
            </w:pPr>
            <w:r w:rsidRPr="001B7BFD">
              <w:rPr>
                <w:rFonts w:ascii="Playfair Display" w:hAnsi="Playfair Display"/>
                <w:sz w:val="22"/>
                <w:szCs w:val="22"/>
              </w:rPr>
              <w:t>- Nyitott és fogékony a propedeutika tudományosan bizonyított szakmai alapjainak megismerésére és alkalmazására.</w:t>
            </w:r>
          </w:p>
          <w:p w14:paraId="58780215" w14:textId="62D12E39" w:rsidR="00D40296" w:rsidRPr="001B7BFD" w:rsidRDefault="00D40296" w:rsidP="00D40296">
            <w:pPr>
              <w:pStyle w:val="NormlWeb"/>
              <w:ind w:left="380" w:hanging="380"/>
              <w:jc w:val="both"/>
              <w:rPr>
                <w:rFonts w:ascii="Playfair Display" w:hAnsi="Playfair Display"/>
                <w:sz w:val="22"/>
                <w:szCs w:val="22"/>
              </w:rPr>
            </w:pPr>
            <w:r w:rsidRPr="001B7BFD">
              <w:rPr>
                <w:rFonts w:ascii="Playfair Display" w:hAnsi="Playfair Display"/>
                <w:sz w:val="22"/>
                <w:szCs w:val="22"/>
              </w:rPr>
              <w:t>-  Igényli a szakmai fejlődést, nyitott az új tudományos eredmények befogadására, törekszik azok megismerésére.</w:t>
            </w:r>
          </w:p>
          <w:p w14:paraId="0EF4B580" w14:textId="7AC37E0D" w:rsidR="00D40296" w:rsidRPr="001B7BFD" w:rsidRDefault="00D40296" w:rsidP="00D40296">
            <w:pPr>
              <w:pStyle w:val="NormlWeb"/>
              <w:ind w:left="380" w:hanging="380"/>
              <w:jc w:val="both"/>
              <w:rPr>
                <w:rFonts w:ascii="Playfair Display" w:hAnsi="Playfair Display"/>
                <w:sz w:val="22"/>
                <w:szCs w:val="22"/>
              </w:rPr>
            </w:pPr>
            <w:r w:rsidRPr="001B7BFD">
              <w:rPr>
                <w:rFonts w:ascii="Playfair Display" w:hAnsi="Playfair Display"/>
                <w:sz w:val="22"/>
                <w:szCs w:val="22"/>
              </w:rPr>
              <w:t>-  A bajbajutott beteghez empátiával viszonyul, fontosnak tartja a kommunikációt, felismeri a beteg ezirányú szükségleteit és igényét.</w:t>
            </w:r>
          </w:p>
          <w:p w14:paraId="5CE3A91E" w14:textId="5F2583D4" w:rsidR="00D40296" w:rsidRPr="001B7BFD" w:rsidRDefault="00D40296" w:rsidP="00D40296">
            <w:pPr>
              <w:pStyle w:val="NormlWeb"/>
              <w:ind w:left="380" w:hanging="380"/>
              <w:jc w:val="both"/>
              <w:rPr>
                <w:rFonts w:ascii="Playfair Display" w:hAnsi="Playfair Display"/>
                <w:sz w:val="22"/>
                <w:szCs w:val="22"/>
              </w:rPr>
            </w:pPr>
            <w:r w:rsidRPr="001B7BFD">
              <w:rPr>
                <w:rFonts w:ascii="Playfair Display" w:hAnsi="Playfair Display"/>
                <w:sz w:val="22"/>
                <w:szCs w:val="22"/>
              </w:rPr>
              <w:t>-  Elkötelezett a minőségi betegellátó tevékenység iránt, saját munkáját indokolt esetben, az ennek történő megfelelés érdekében kritikával illeti.</w:t>
            </w:r>
          </w:p>
          <w:p w14:paraId="22FB7637" w14:textId="77777777" w:rsidR="00D40296" w:rsidRPr="001B7BFD" w:rsidRDefault="00D40296" w:rsidP="00D40296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lang w:eastAsia="hu-HU"/>
              </w:rPr>
            </w:pPr>
          </w:p>
          <w:p w14:paraId="23F2EFE7" w14:textId="226F33D5" w:rsidR="00D40296" w:rsidRPr="001B7BFD" w:rsidRDefault="00D40296" w:rsidP="00D40296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lang w:eastAsia="hu-HU"/>
              </w:rPr>
            </w:pPr>
            <w:r w:rsidRPr="001B7BFD">
              <w:rPr>
                <w:rFonts w:ascii="Playfair Display" w:eastAsia="Times New Roman" w:hAnsi="Playfair Display" w:cs="Times New Roman"/>
                <w:b/>
                <w:lang w:eastAsia="hu-HU"/>
              </w:rPr>
              <w:t xml:space="preserve">d) </w:t>
            </w:r>
            <w:r w:rsidRPr="001B7BFD">
              <w:rPr>
                <w:rFonts w:ascii="Playfair Display" w:eastAsia="Times New Roman" w:hAnsi="Playfair Display" w:cs="Times New Roman"/>
                <w:b/>
                <w:bCs/>
                <w:lang w:eastAsia="hu-HU"/>
              </w:rPr>
              <w:t>autonómiája és felelőssége:</w:t>
            </w:r>
          </w:p>
          <w:p w14:paraId="057C8E72" w14:textId="05A06D14" w:rsidR="00D40296" w:rsidRPr="001B7BFD" w:rsidRDefault="00D40296" w:rsidP="00D40296">
            <w:pPr>
              <w:pStyle w:val="NormlWeb"/>
              <w:ind w:left="380" w:hanging="380"/>
              <w:jc w:val="both"/>
              <w:rPr>
                <w:rFonts w:ascii="Playfair Display" w:hAnsi="Playfair Display"/>
                <w:sz w:val="22"/>
                <w:szCs w:val="22"/>
              </w:rPr>
            </w:pPr>
            <w:r w:rsidRPr="001B7BFD">
              <w:rPr>
                <w:rFonts w:ascii="Playfair Display" w:hAnsi="Playfair Display"/>
                <w:sz w:val="22"/>
                <w:szCs w:val="22"/>
              </w:rPr>
              <w:lastRenderedPageBreak/>
              <w:t>- 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</w:p>
          <w:p w14:paraId="40845B70" w14:textId="77777777" w:rsidR="00D40296" w:rsidRPr="001B7BFD" w:rsidRDefault="00D40296" w:rsidP="00D40296">
            <w:pPr>
              <w:spacing w:after="0" w:line="276" w:lineRule="auto"/>
              <w:jc w:val="both"/>
              <w:rPr>
                <w:rFonts w:ascii="Playfair Display" w:hAnsi="Playfair Display" w:cs="Times New Roman"/>
              </w:rPr>
            </w:pPr>
            <w:r w:rsidRPr="001B7BFD">
              <w:rPr>
                <w:rFonts w:ascii="Playfair Display" w:hAnsi="Playfair Display"/>
              </w:rPr>
              <w:t xml:space="preserve">-  </w:t>
            </w:r>
            <w:r w:rsidRPr="001B7BFD">
              <w:rPr>
                <w:rFonts w:ascii="Playfair Display" w:hAnsi="Playfair Display" w:cs="Times New Roman"/>
              </w:rPr>
              <w:t>A segítségnyújtást igénylő helyzetek esetén a szükséges vizsgálatokat önállóan, vagy    szükség esetén segítséggel elvégzi, döntést hoz a továbbiakban felmerülő vizsgálatok és beavatkozások szükségességéről.</w:t>
            </w:r>
          </w:p>
          <w:p w14:paraId="4C3287AB" w14:textId="23C78B12" w:rsidR="00C07963" w:rsidRPr="001B7BFD" w:rsidRDefault="00C07963" w:rsidP="00C07963">
            <w:pPr>
              <w:spacing w:after="0" w:line="276" w:lineRule="auto"/>
              <w:jc w:val="both"/>
              <w:rPr>
                <w:rFonts w:ascii="Playfair Display" w:eastAsia="Times New Roman" w:hAnsi="Playfair Display" w:cs="Times New Roman"/>
                <w:lang w:eastAsia="hu-HU"/>
              </w:rPr>
            </w:pPr>
            <w:r w:rsidRPr="001B7BFD">
              <w:rPr>
                <w:rFonts w:ascii="Playfair Display" w:eastAsia="Times New Roman" w:hAnsi="Playfair Display" w:cs="Times New Roman"/>
                <w:lang w:eastAsia="hu-HU"/>
              </w:rPr>
              <w:t>-</w:t>
            </w:r>
            <w:r w:rsidR="001B7BFD" w:rsidRPr="001B7BFD">
              <w:rPr>
                <w:rFonts w:ascii="Playfair Display" w:eastAsia="Times New Roman" w:hAnsi="Playfair Display" w:cs="Times New Roman"/>
                <w:lang w:eastAsia="hu-HU"/>
              </w:rPr>
              <w:t xml:space="preserve"> </w:t>
            </w:r>
            <w:r w:rsidRPr="001B7BFD">
              <w:rPr>
                <w:rFonts w:ascii="Playfair Display" w:eastAsia="Times New Roman" w:hAnsi="Playfair Display" w:cs="Times New Roman"/>
                <w:lang w:eastAsia="hu-HU"/>
              </w:rPr>
              <w:t>Szülést önállóan levezet, a komplikációkat felismeri, azok következményeit minimalizálja.</w:t>
            </w:r>
          </w:p>
          <w:p w14:paraId="023406FF" w14:textId="5793166F" w:rsidR="00C07963" w:rsidRPr="001B7BFD" w:rsidRDefault="00C07963" w:rsidP="00C07963">
            <w:pPr>
              <w:spacing w:after="0" w:line="276" w:lineRule="auto"/>
              <w:jc w:val="both"/>
              <w:rPr>
                <w:rFonts w:ascii="Playfair Display" w:eastAsia="Times New Roman" w:hAnsi="Playfair Display" w:cs="Times New Roman"/>
                <w:lang w:eastAsia="hu-HU"/>
              </w:rPr>
            </w:pPr>
            <w:r w:rsidRPr="001B7BFD">
              <w:rPr>
                <w:rFonts w:ascii="Playfair Display" w:eastAsia="Times New Roman" w:hAnsi="Playfair Display" w:cs="Times New Roman"/>
                <w:lang w:eastAsia="hu-HU"/>
              </w:rPr>
              <w:t>-</w:t>
            </w:r>
            <w:r w:rsidR="001B7BFD" w:rsidRPr="001B7BFD">
              <w:rPr>
                <w:rFonts w:ascii="Playfair Display" w:eastAsia="Times New Roman" w:hAnsi="Playfair Display" w:cs="Times New Roman"/>
                <w:lang w:eastAsia="hu-HU"/>
              </w:rPr>
              <w:t xml:space="preserve"> </w:t>
            </w:r>
            <w:r w:rsidRPr="001B7BFD">
              <w:rPr>
                <w:rFonts w:ascii="Playfair Display" w:eastAsia="Times New Roman" w:hAnsi="Playfair Display" w:cs="Times New Roman"/>
                <w:lang w:eastAsia="hu-HU"/>
              </w:rPr>
              <w:t>Az újszülöttet szakszerűen ellátja, a szülés és születés körüli vészhelyzeteket elhárítja, indokolt esetben kifejtési műfogásokat, epiziotómiát alkalmaz.</w:t>
            </w:r>
          </w:p>
        </w:tc>
      </w:tr>
      <w:tr w:rsidR="00D40296" w:rsidRPr="00EB0B9B" w14:paraId="27E3DFB6" w14:textId="77777777" w:rsidTr="00DE2351">
        <w:trPr>
          <w:trHeight w:val="338"/>
          <w:jc w:val="center"/>
        </w:trPr>
        <w:tc>
          <w:tcPr>
            <w:tcW w:w="887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8FA5D8E" w14:textId="294807F4" w:rsidR="00D40296" w:rsidRPr="00EB0B9B" w:rsidRDefault="00D40296" w:rsidP="00D40296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EB0B9B">
              <w:rPr>
                <w:rFonts w:ascii="Playfair Display" w:hAnsi="Playfair Display"/>
                <w:b/>
              </w:rPr>
              <w:lastRenderedPageBreak/>
              <w:t xml:space="preserve">Tantárgy felelőse </w:t>
            </w:r>
            <w:r w:rsidRPr="00EB0B9B">
              <w:rPr>
                <w:rFonts w:ascii="Playfair Display" w:hAnsi="Playfair Display"/>
              </w:rPr>
              <w:t>(</w:t>
            </w:r>
            <w:r w:rsidRPr="00EB0B9B">
              <w:rPr>
                <w:rFonts w:ascii="Playfair Display" w:hAnsi="Playfair Display"/>
                <w:i/>
              </w:rPr>
              <w:t>név, beosztás, tud. fokozat</w:t>
            </w:r>
            <w:r w:rsidRPr="00EB0B9B">
              <w:rPr>
                <w:rFonts w:ascii="Playfair Display" w:hAnsi="Playfair Display"/>
              </w:rPr>
              <w:t>)</w:t>
            </w:r>
            <w:r w:rsidRPr="00EB0B9B">
              <w:rPr>
                <w:rFonts w:ascii="Playfair Display" w:hAnsi="Playfair Display"/>
                <w:b/>
              </w:rPr>
              <w:t>:</w:t>
            </w:r>
            <w:r>
              <w:rPr>
                <w:rFonts w:ascii="Playfair Display" w:hAnsi="Playfair Display"/>
                <w:b/>
              </w:rPr>
              <w:t xml:space="preserve"> Schiszler Bence, tanársegéd</w:t>
            </w:r>
          </w:p>
        </w:tc>
      </w:tr>
      <w:tr w:rsidR="00D40296" w:rsidRPr="00EB0B9B" w14:paraId="5AD7EF17" w14:textId="77777777" w:rsidTr="00DE2351">
        <w:trPr>
          <w:trHeight w:val="337"/>
          <w:jc w:val="center"/>
        </w:trPr>
        <w:tc>
          <w:tcPr>
            <w:tcW w:w="887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C0A1BC3" w14:textId="77777777" w:rsidR="00D40296" w:rsidRPr="000043B5" w:rsidRDefault="00D40296" w:rsidP="00D40296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EB0B9B">
              <w:rPr>
                <w:rFonts w:ascii="Playfair Display" w:hAnsi="Playfair Display"/>
                <w:b/>
              </w:rPr>
              <w:t xml:space="preserve">Tantárgy oktatásába bevont oktató(k), </w:t>
            </w:r>
            <w:r w:rsidRPr="00EB0B9B">
              <w:rPr>
                <w:rFonts w:ascii="Playfair Display" w:hAnsi="Playfair Display"/>
              </w:rPr>
              <w:t>ha van(nak)</w:t>
            </w:r>
            <w:r w:rsidRPr="00EB0B9B">
              <w:rPr>
                <w:rFonts w:ascii="Playfair Display" w:hAnsi="Playfair Display"/>
                <w:b/>
              </w:rPr>
              <w:t xml:space="preserve"> </w:t>
            </w:r>
            <w:r w:rsidRPr="00EB0B9B">
              <w:rPr>
                <w:rFonts w:ascii="Playfair Display" w:hAnsi="Playfair Display"/>
              </w:rPr>
              <w:t>(</w:t>
            </w:r>
            <w:r w:rsidRPr="00EB0B9B">
              <w:rPr>
                <w:rFonts w:ascii="Playfair Display" w:hAnsi="Playfair Display"/>
                <w:i/>
              </w:rPr>
              <w:t>név, beosztás, tud. fokozat</w:t>
            </w:r>
            <w:r w:rsidRPr="00EB0B9B">
              <w:rPr>
                <w:rFonts w:ascii="Playfair Display" w:hAnsi="Playfair Display"/>
              </w:rPr>
              <w:t>)</w:t>
            </w:r>
            <w:r>
              <w:rPr>
                <w:rFonts w:ascii="Playfair Display" w:hAnsi="Playfair Display"/>
                <w:b/>
              </w:rPr>
              <w:t>:</w:t>
            </w:r>
          </w:p>
        </w:tc>
      </w:tr>
    </w:tbl>
    <w:p w14:paraId="28FC2AE3" w14:textId="77777777" w:rsidR="00DE2351" w:rsidRDefault="00DE2351" w:rsidP="002D1C93">
      <w:pPr>
        <w:spacing w:after="0" w:line="240" w:lineRule="auto"/>
        <w:rPr>
          <w:rFonts w:ascii="Playfair Display" w:eastAsia="Times New Roman" w:hAnsi="Playfair Display" w:cs="Times New Roman"/>
          <w:sz w:val="20"/>
          <w:szCs w:val="20"/>
          <w:lang w:eastAsia="hu-HU"/>
        </w:rPr>
      </w:pPr>
    </w:p>
    <w:sectPr w:rsidR="00DE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DA494" w14:textId="77777777" w:rsidR="00987690" w:rsidRDefault="00987690" w:rsidP="00DE2351">
      <w:pPr>
        <w:spacing w:after="0" w:line="240" w:lineRule="auto"/>
      </w:pPr>
      <w:r>
        <w:separator/>
      </w:r>
    </w:p>
  </w:endnote>
  <w:endnote w:type="continuationSeparator" w:id="0">
    <w:p w14:paraId="6C771051" w14:textId="77777777" w:rsidR="00987690" w:rsidRDefault="00987690" w:rsidP="00DE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866E" w14:textId="77777777" w:rsidR="00987690" w:rsidRDefault="00987690" w:rsidP="00DE2351">
      <w:pPr>
        <w:spacing w:after="0" w:line="240" w:lineRule="auto"/>
      </w:pPr>
      <w:r>
        <w:separator/>
      </w:r>
    </w:p>
  </w:footnote>
  <w:footnote w:type="continuationSeparator" w:id="0">
    <w:p w14:paraId="6DB0AC86" w14:textId="77777777" w:rsidR="00987690" w:rsidRDefault="00987690" w:rsidP="00DE2351">
      <w:pPr>
        <w:spacing w:after="0" w:line="240" w:lineRule="auto"/>
      </w:pPr>
      <w:r>
        <w:continuationSeparator/>
      </w:r>
    </w:p>
  </w:footnote>
  <w:footnote w:id="1">
    <w:p w14:paraId="1A077C14" w14:textId="77777777" w:rsidR="00DE2351" w:rsidRPr="00A5216A" w:rsidRDefault="00DE2351" w:rsidP="00DE2351">
      <w:pPr>
        <w:pStyle w:val="Lbjegyzetszveg"/>
        <w:ind w:left="142" w:hanging="142"/>
        <w:rPr>
          <w:sz w:val="4"/>
          <w:szCs w:val="4"/>
        </w:rPr>
      </w:pPr>
    </w:p>
    <w:p w14:paraId="2C2FC749" w14:textId="77777777" w:rsidR="00DE2351" w:rsidRPr="0003723C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03723C">
        <w:t xml:space="preserve"> </w:t>
      </w:r>
      <w:r w:rsidRPr="00576C00">
        <w:rPr>
          <w:b/>
        </w:rPr>
        <w:t>N</w:t>
      </w:r>
      <w:r w:rsidRPr="0003723C">
        <w:rPr>
          <w:b/>
          <w:bCs/>
        </w:rPr>
        <w:t xml:space="preserve">ftv.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14:paraId="3FFD01F4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rPr>
          <w:b/>
        </w:rPr>
        <w:t xml:space="preserve"> </w:t>
      </w:r>
      <w:r w:rsidRPr="00CD5314">
        <w:t>pl. esetismertetések, szerepjáték, tematikus prezentációk stb.</w:t>
      </w:r>
    </w:p>
  </w:footnote>
  <w:footnote w:id="3">
    <w:p w14:paraId="6840BD96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folyamatos számonkérés, évközi beszámoló</w:t>
      </w:r>
    </w:p>
  </w:footnote>
  <w:footnote w:id="4">
    <w:p w14:paraId="16B61C6E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696"/>
    <w:multiLevelType w:val="hybridMultilevel"/>
    <w:tmpl w:val="D1320AA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34B51"/>
    <w:multiLevelType w:val="hybridMultilevel"/>
    <w:tmpl w:val="9EBE719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290845"/>
    <w:multiLevelType w:val="hybridMultilevel"/>
    <w:tmpl w:val="025A9B56"/>
    <w:lvl w:ilvl="0" w:tplc="0254C2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96927"/>
    <w:multiLevelType w:val="hybridMultilevel"/>
    <w:tmpl w:val="6C5A2E70"/>
    <w:lvl w:ilvl="0" w:tplc="2E5CF0EE">
      <w:start w:val="3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378697915">
    <w:abstractNumId w:val="3"/>
  </w:num>
  <w:num w:numId="2" w16cid:durableId="961576002">
    <w:abstractNumId w:val="2"/>
  </w:num>
  <w:num w:numId="3" w16cid:durableId="131604654">
    <w:abstractNumId w:val="1"/>
  </w:num>
  <w:num w:numId="4" w16cid:durableId="12609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51"/>
    <w:rsid w:val="0001769D"/>
    <w:rsid w:val="00022C18"/>
    <w:rsid w:val="00060E73"/>
    <w:rsid w:val="000E2149"/>
    <w:rsid w:val="000E715B"/>
    <w:rsid w:val="00124D54"/>
    <w:rsid w:val="001B7BFD"/>
    <w:rsid w:val="00202A84"/>
    <w:rsid w:val="002570FD"/>
    <w:rsid w:val="002D1C93"/>
    <w:rsid w:val="003E3492"/>
    <w:rsid w:val="004F30C3"/>
    <w:rsid w:val="006B5656"/>
    <w:rsid w:val="00723580"/>
    <w:rsid w:val="00784BE3"/>
    <w:rsid w:val="008C233E"/>
    <w:rsid w:val="00987690"/>
    <w:rsid w:val="00C0373B"/>
    <w:rsid w:val="00C07963"/>
    <w:rsid w:val="00C3680A"/>
    <w:rsid w:val="00C554D5"/>
    <w:rsid w:val="00D40296"/>
    <w:rsid w:val="00D76F61"/>
    <w:rsid w:val="00D91BF4"/>
    <w:rsid w:val="00DE2351"/>
    <w:rsid w:val="00E2684F"/>
    <w:rsid w:val="00EA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25E9"/>
  <w15:chartTrackingRefBased/>
  <w15:docId w15:val="{51A04819-D25A-411A-84DE-6BBFA55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23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qFormat/>
    <w:rsid w:val="00DE2351"/>
    <w:rPr>
      <w:vertAlign w:val="superscript"/>
    </w:rPr>
  </w:style>
  <w:style w:type="paragraph" w:styleId="Lbjegyzetszveg">
    <w:name w:val="footnote text"/>
    <w:basedOn w:val="Norml"/>
    <w:link w:val="LbjegyzetszvegChar"/>
    <w:rsid w:val="00DE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DE23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E235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E34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C46DD-1524-4F1A-AB9E-6FE027CA516C}"/>
</file>

<file path=customXml/itemProps2.xml><?xml version="1.0" encoding="utf-8"?>
<ds:datastoreItem xmlns:ds="http://schemas.openxmlformats.org/officeDocument/2006/customXml" ds:itemID="{768FB30F-F134-4853-98A1-1A073A08E24A}">
  <ds:schemaRefs>
    <ds:schemaRef ds:uri="http://schemas.microsoft.com/office/2006/metadata/properties"/>
    <ds:schemaRef ds:uri="http://schemas.microsoft.com/office/infopath/2007/PartnerControls"/>
    <ds:schemaRef ds:uri="ed487125-6329-4991-b5f3-753eb9803dbb"/>
    <ds:schemaRef ds:uri="d4b14625-c4e4-4953-bfea-b57e488ae3dd"/>
  </ds:schemaRefs>
</ds:datastoreItem>
</file>

<file path=customXml/itemProps3.xml><?xml version="1.0" encoding="utf-8"?>
<ds:datastoreItem xmlns:ds="http://schemas.openxmlformats.org/officeDocument/2006/customXml" ds:itemID="{A55BB072-AFF7-4E31-8823-64ECEFBA22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05211A-5D46-4A1B-93B6-8E3162B3E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5692</Characters>
  <Application>Microsoft Office Word</Application>
  <DocSecurity>4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Kungl Anikó</dc:creator>
  <cp:keywords/>
  <dc:description/>
  <cp:lastModifiedBy>Bencsik Anna</cp:lastModifiedBy>
  <cp:revision>2</cp:revision>
  <dcterms:created xsi:type="dcterms:W3CDTF">2023-10-26T11:54:00Z</dcterms:created>
  <dcterms:modified xsi:type="dcterms:W3CDTF">2023-10-26T11:54:00Z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319400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