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5"/>
        <w:gridCol w:w="3327"/>
      </w:tblGrid>
      <w:tr w:rsidR="00DE2351" w:rsidRPr="000043B5" w14:paraId="5B5EC66B" w14:textId="77777777" w:rsidTr="00C22FCB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6FFFAA0B" w:rsidR="00DE2351" w:rsidRPr="00DE2351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 </w:t>
            </w:r>
            <w:r w:rsidR="009074CE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Szakmai Gyakorlat III.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3A369976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9074CE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6</w:t>
            </w:r>
          </w:p>
        </w:tc>
      </w:tr>
      <w:tr w:rsidR="00DE2351" w:rsidRPr="000043B5" w14:paraId="3272921F" w14:textId="77777777" w:rsidTr="00C22FCB">
        <w:trPr>
          <w:jc w:val="center"/>
        </w:trPr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9074CE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kötelező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/ választható</w:t>
            </w:r>
          </w:p>
        </w:tc>
      </w:tr>
      <w:tr w:rsidR="00DE2351" w:rsidRPr="000043B5" w14:paraId="259D834E" w14:textId="77777777" w:rsidTr="00C22FCB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472C5A4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9074C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100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C22FCB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7777777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ea. / 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9074CE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gyak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</w:p>
          <w:p w14:paraId="4D313402" w14:textId="31E4FE5C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9074C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80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nappali munkarend, </w:t>
            </w:r>
            <w:r w:rsidR="009074C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40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levelező munkarend az adott félévben.</w:t>
            </w:r>
          </w:p>
          <w:p w14:paraId="73A519A0" w14:textId="77777777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  <w:p w14:paraId="1FD4F45B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</w:t>
            </w:r>
            <w:r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-</w:t>
            </w:r>
          </w:p>
          <w:p w14:paraId="47AF09D2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</w:tc>
      </w:tr>
      <w:tr w:rsidR="009074CE" w:rsidRPr="000043B5" w14:paraId="7DF1D2D2" w14:textId="77777777" w:rsidTr="00C22FCB">
        <w:trPr>
          <w:jc w:val="center"/>
        </w:trPr>
        <w:tc>
          <w:tcPr>
            <w:tcW w:w="90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02B3E1" w14:textId="77777777" w:rsidR="009074CE" w:rsidRDefault="009074CE" w:rsidP="009074C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Nappali munkarend esetén: </w:t>
            </w:r>
            <w:r w:rsidRPr="009074C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40 óra esetkocsi 40 óra rohamkocsi gyakorlat</w:t>
            </w:r>
          </w:p>
          <w:p w14:paraId="5FBB7C7A" w14:textId="77777777" w:rsidR="009074CE" w:rsidRDefault="009074CE" w:rsidP="009074C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 munkarend esetén: 2</w:t>
            </w:r>
            <w:r w:rsidRPr="009074C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0 óra esetkocsi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</w:t>
            </w:r>
            <w:r w:rsidRPr="009074C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0 óra rohamkocsi gyakorlat</w:t>
            </w:r>
          </w:p>
          <w:p w14:paraId="42C796D2" w14:textId="28B9F542" w:rsidR="009074CE" w:rsidRPr="000043B5" w:rsidRDefault="009074CE" w:rsidP="009074CE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074CE" w:rsidRPr="000043B5" w14:paraId="2EDF3800" w14:textId="77777777" w:rsidTr="00C22FCB">
        <w:trPr>
          <w:jc w:val="center"/>
        </w:trPr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2DC984C0" w:rsidR="009074CE" w:rsidRPr="000043B5" w:rsidRDefault="009074CE" w:rsidP="009074CE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VI</w:t>
            </w:r>
          </w:p>
        </w:tc>
      </w:tr>
      <w:tr w:rsidR="009074CE" w:rsidRPr="000043B5" w14:paraId="1779E898" w14:textId="77777777" w:rsidTr="00C22FCB">
        <w:trPr>
          <w:jc w:val="center"/>
        </w:trPr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658B90BB" w:rsidR="009074CE" w:rsidRPr="000043B5" w:rsidRDefault="009074CE" w:rsidP="009074CE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9074C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Szakmai gyakorlat II.</w:t>
            </w:r>
          </w:p>
          <w:p w14:paraId="35479DB5" w14:textId="3E326E67" w:rsidR="009074CE" w:rsidRPr="000043B5" w:rsidRDefault="009074CE" w:rsidP="009074CE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Párhuzamos feltétel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</w:p>
        </w:tc>
      </w:tr>
      <w:tr w:rsidR="009074CE" w:rsidRPr="000043B5" w14:paraId="46814628" w14:textId="77777777" w:rsidTr="00C22FCB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9074CE" w:rsidRPr="000043B5" w:rsidRDefault="009074CE" w:rsidP="009074CE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9074CE" w:rsidRPr="000043B5" w14:paraId="3E6283B5" w14:textId="77777777" w:rsidTr="00C22FCB">
        <w:trPr>
          <w:trHeight w:val="347"/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468A78" w14:textId="43BB3C4A" w:rsidR="009074CE" w:rsidRPr="00DE75C6" w:rsidRDefault="009074CE" w:rsidP="009074CE">
            <w:pPr>
              <w:suppressAutoHyphens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Esetkocsi</w:t>
            </w:r>
            <w:r>
              <w:rPr>
                <w:rFonts w:ascii="Playfair Display" w:eastAsia="Playfair Display" w:hAnsi="Playfair Display" w:cs="Playfair Display"/>
                <w:sz w:val="20"/>
                <w:szCs w:val="20"/>
              </w:rPr>
              <w:t>, rohamkocsi</w:t>
            </w: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 xml:space="preserve"> gyakorlat</w:t>
            </w:r>
          </w:p>
          <w:p w14:paraId="053AE228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Hordágy / hordszék használata</w:t>
            </w:r>
          </w:p>
          <w:p w14:paraId="3F02D3BA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Nyakrögzítő használata</w:t>
            </w:r>
          </w:p>
          <w:p w14:paraId="6A814D13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Vákuummatrac / vákuumsín használata</w:t>
            </w:r>
          </w:p>
          <w:p w14:paraId="7D76CF2E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Defibrilláció</w:t>
            </w:r>
          </w:p>
          <w:p w14:paraId="51F70C86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Újraélesztés</w:t>
            </w:r>
          </w:p>
          <w:p w14:paraId="0DA8516A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Vitális paraméterek ellenőrzése</w:t>
            </w:r>
          </w:p>
          <w:p w14:paraId="0D481618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Im. Injekció alkalmazása</w:t>
            </w:r>
          </w:p>
          <w:p w14:paraId="21844E3E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Iv. injekció alkalmazása</w:t>
            </w:r>
          </w:p>
          <w:p w14:paraId="6BBA6ADA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Infúzió bekötése</w:t>
            </w:r>
          </w:p>
          <w:p w14:paraId="69A20E3A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Perfúzor használata</w:t>
            </w:r>
          </w:p>
          <w:p w14:paraId="0908A99B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Dokumentáció elkészítése</w:t>
            </w:r>
          </w:p>
          <w:p w14:paraId="46470E95" w14:textId="77777777" w:rsidR="009074CE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009074CE">
              <w:rPr>
                <w:rFonts w:ascii="Playfair Display" w:eastAsia="Playfair Display" w:hAnsi="Playfair Display" w:cs="Playfair Display"/>
                <w:sz w:val="20"/>
                <w:szCs w:val="20"/>
              </w:rPr>
              <w:t>Kommunikáció a sérülttel / beteggel</w:t>
            </w:r>
          </w:p>
          <w:p w14:paraId="4556099C" w14:textId="2F07386E" w:rsidR="009074CE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Lélegeztetőgép használata</w:t>
            </w:r>
          </w:p>
          <w:p w14:paraId="430CA6AF" w14:textId="66320B1D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sz w:val="20"/>
                <w:szCs w:val="20"/>
              </w:rPr>
              <w:t>Elektromos/gyógyszeres/hibrid kardioverzió</w:t>
            </w:r>
          </w:p>
          <w:p w14:paraId="10BB8369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PM terápia</w:t>
            </w:r>
          </w:p>
          <w:p w14:paraId="04AD0F8A" w14:textId="77777777" w:rsidR="009074CE" w:rsidRPr="00DE75C6" w:rsidRDefault="009074CE" w:rsidP="009074CE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Endotracheális intubáció</w:t>
            </w:r>
          </w:p>
          <w:p w14:paraId="2C5F4D51" w14:textId="7E39E40A" w:rsidR="009074CE" w:rsidRPr="00DE75C6" w:rsidRDefault="009074CE" w:rsidP="009074CE">
            <w:pPr>
              <w:pStyle w:val="Listaszerbekezds"/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  <w:p w14:paraId="6CE8E9E9" w14:textId="58F05CE2" w:rsidR="009074CE" w:rsidRPr="000043B5" w:rsidRDefault="009074CE" w:rsidP="009074C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074CE" w:rsidRPr="000043B5" w14:paraId="5CC590D6" w14:textId="77777777" w:rsidTr="00C22FCB">
        <w:trPr>
          <w:trHeight w:val="388"/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F5D27A" w14:textId="77777777" w:rsidR="009074CE" w:rsidRDefault="009074CE" w:rsidP="009074C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  <w:p w14:paraId="1DEFE1C2" w14:textId="77777777" w:rsidR="00C22FCB" w:rsidRDefault="00C22FCB" w:rsidP="009074C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C22FCB" w:rsidRPr="000043B5" w14:paraId="26331AC3" w14:textId="77777777" w:rsidTr="00C22FCB">
              <w:trPr>
                <w:trHeight w:val="564"/>
                <w:jc w:val="center"/>
              </w:trPr>
              <w:tc>
                <w:tcPr>
                  <w:tcW w:w="88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16B483DB" w14:textId="77777777" w:rsidR="00C22FCB" w:rsidRPr="000043B5" w:rsidRDefault="00C22FCB" w:rsidP="00C22FCB">
                  <w:pPr>
                    <w:spacing w:after="0" w:line="240" w:lineRule="auto"/>
                    <w:jc w:val="center"/>
                    <w:rPr>
                      <w:rFonts w:ascii="Playfair Display" w:eastAsia="Times New Roman" w:hAnsi="Playfair Display" w:cs="Times New Roman"/>
                      <w:sz w:val="20"/>
                      <w:szCs w:val="20"/>
                      <w:lang w:eastAsia="hu-HU"/>
                    </w:rPr>
                  </w:pPr>
                  <w:r w:rsidRPr="00DE2351">
                    <w:rPr>
                      <w:rFonts w:ascii="Playfair Display" w:eastAsia="Times New Roman" w:hAnsi="Playfair Display" w:cs="Times New Roman"/>
                      <w:b/>
                      <w:bCs/>
                      <w:sz w:val="20"/>
                      <w:szCs w:val="20"/>
                      <w:lang w:eastAsia="hu-HU"/>
                    </w:rPr>
                    <w:t>Alkalom</w:t>
                  </w:r>
                </w:p>
              </w:tc>
            </w:tr>
            <w:tr w:rsidR="00C22FCB" w:rsidRPr="000043B5" w14:paraId="323851DF" w14:textId="77777777" w:rsidTr="00C22FCB">
              <w:trPr>
                <w:trHeight w:val="301"/>
                <w:jc w:val="center"/>
              </w:trPr>
              <w:tc>
                <w:tcPr>
                  <w:tcW w:w="88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tbl>
                  <w:tblPr>
                    <w:tblStyle w:val="Rcsostblzat"/>
                    <w:tblW w:w="8889" w:type="dxa"/>
                    <w:tblLook w:val="06A0" w:firstRow="1" w:lastRow="0" w:firstColumn="1" w:lastColumn="0" w:noHBand="1" w:noVBand="1"/>
                  </w:tblPr>
                  <w:tblGrid>
                    <w:gridCol w:w="2190"/>
                    <w:gridCol w:w="3257"/>
                    <w:gridCol w:w="3442"/>
                  </w:tblGrid>
                  <w:tr w:rsidR="00C22FCB" w:rsidRPr="00DE75C6" w14:paraId="4D4783C6" w14:textId="77777777" w:rsidTr="00C8292F">
                    <w:tc>
                      <w:tcPr>
                        <w:tcW w:w="2190" w:type="dxa"/>
                        <w:vMerge w:val="restart"/>
                        <w:vAlign w:val="center"/>
                      </w:tcPr>
                      <w:p w14:paraId="11967925" w14:textId="32C2D2C8" w:rsidR="00C22FCB" w:rsidRPr="00DE75C6" w:rsidRDefault="00C22FCB" w:rsidP="00C22FCB">
                        <w:pPr>
                          <w:jc w:val="center"/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Szakmai gyakorlat III.</w:t>
                        </w:r>
                      </w:p>
                    </w:tc>
                    <w:tc>
                      <w:tcPr>
                        <w:tcW w:w="3257" w:type="dxa"/>
                      </w:tcPr>
                      <w:p w14:paraId="54B22CCC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Hordágy / hordszék használata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526D7C54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 Elvégez: 10</w:t>
                        </w:r>
                      </w:p>
                    </w:tc>
                  </w:tr>
                  <w:tr w:rsidR="00C22FCB" w:rsidRPr="00DE75C6" w14:paraId="0845A8DD" w14:textId="77777777" w:rsidTr="00C8292F">
                    <w:tc>
                      <w:tcPr>
                        <w:tcW w:w="2190" w:type="dxa"/>
                        <w:vMerge/>
                      </w:tcPr>
                      <w:p w14:paraId="4B9713ED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7DE4527F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Nyakrögzítő használata</w:t>
                        </w:r>
                      </w:p>
                      <w:p w14:paraId="3B3DC574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42" w:type="dxa"/>
                      </w:tcPr>
                      <w:p w14:paraId="4BCCBB99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 Elvégez: 10</w:t>
                        </w:r>
                      </w:p>
                    </w:tc>
                  </w:tr>
                  <w:tr w:rsidR="00C22FCB" w:rsidRPr="00DE75C6" w14:paraId="70F7D8EC" w14:textId="77777777" w:rsidTr="00C8292F">
                    <w:tc>
                      <w:tcPr>
                        <w:tcW w:w="2190" w:type="dxa"/>
                        <w:vMerge/>
                      </w:tcPr>
                      <w:p w14:paraId="736BD650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0B09A577" w14:textId="77777777" w:rsidR="00C22FCB" w:rsidRPr="00DE75C6" w:rsidRDefault="00C22FCB" w:rsidP="00C22FCB">
                        <w:pPr>
                          <w:suppressAutoHyphens/>
                          <w:jc w:val="both"/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Vákuummatrac / vákuumsín használata</w:t>
                        </w:r>
                      </w:p>
                      <w:p w14:paraId="0C1D7703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42" w:type="dxa"/>
                      </w:tcPr>
                      <w:p w14:paraId="616B6B14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 Elvégez: 10</w:t>
                        </w:r>
                      </w:p>
                    </w:tc>
                  </w:tr>
                  <w:tr w:rsidR="00C22FCB" w:rsidRPr="00DE75C6" w14:paraId="287EFCC9" w14:textId="77777777" w:rsidTr="00C8292F">
                    <w:tc>
                      <w:tcPr>
                        <w:tcW w:w="2190" w:type="dxa"/>
                        <w:vMerge/>
                      </w:tcPr>
                      <w:p w14:paraId="6F49BCD5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7ADE352E" w14:textId="77777777" w:rsidR="00C22FCB" w:rsidRPr="00DE75C6" w:rsidRDefault="00C22FCB" w:rsidP="00C22FCB">
                        <w:pPr>
                          <w:suppressAutoHyphens/>
                          <w:jc w:val="both"/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Pulzoximéter használata</w:t>
                        </w:r>
                      </w:p>
                      <w:p w14:paraId="39AB2504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42" w:type="dxa"/>
                      </w:tcPr>
                      <w:p w14:paraId="75B7D54E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5, Elvégez: 20</w:t>
                        </w:r>
                      </w:p>
                    </w:tc>
                  </w:tr>
                  <w:tr w:rsidR="00C22FCB" w:rsidRPr="00DE75C6" w14:paraId="10EFBD8F" w14:textId="77777777" w:rsidTr="00C8292F">
                    <w:tc>
                      <w:tcPr>
                        <w:tcW w:w="2190" w:type="dxa"/>
                        <w:vMerge/>
                      </w:tcPr>
                      <w:p w14:paraId="2AB470C8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67576040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Újraélesztés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1E146EEA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</w:t>
                        </w:r>
                      </w:p>
                    </w:tc>
                  </w:tr>
                  <w:tr w:rsidR="00C22FCB" w:rsidRPr="00DE75C6" w14:paraId="2555F010" w14:textId="77777777" w:rsidTr="00C8292F">
                    <w:tc>
                      <w:tcPr>
                        <w:tcW w:w="2190" w:type="dxa"/>
                        <w:vMerge/>
                      </w:tcPr>
                      <w:p w14:paraId="5847D36A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568679C0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Vitális paraméterek ellenőrzése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7FF99855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Elvégez: 20</w:t>
                        </w:r>
                      </w:p>
                    </w:tc>
                  </w:tr>
                  <w:tr w:rsidR="00C22FCB" w:rsidRPr="00DE75C6" w14:paraId="1A2A39DD" w14:textId="77777777" w:rsidTr="00C8292F">
                    <w:tc>
                      <w:tcPr>
                        <w:tcW w:w="2190" w:type="dxa"/>
                        <w:vMerge/>
                      </w:tcPr>
                      <w:p w14:paraId="6CE760F7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037FC4B1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Im. Injekció alkalmazása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57A96F93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1 Elvégez: 2</w:t>
                        </w:r>
                      </w:p>
                    </w:tc>
                  </w:tr>
                  <w:tr w:rsidR="00C22FCB" w:rsidRPr="00DE75C6" w14:paraId="5FACFFFD" w14:textId="77777777" w:rsidTr="00C8292F">
                    <w:tc>
                      <w:tcPr>
                        <w:tcW w:w="2190" w:type="dxa"/>
                        <w:vMerge/>
                      </w:tcPr>
                      <w:p w14:paraId="60FA967F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086C5D5B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Iv. injekció alkalmazása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40463005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10 Közreműködik: 10 Elvégez: 10</w:t>
                        </w:r>
                      </w:p>
                    </w:tc>
                  </w:tr>
                  <w:tr w:rsidR="00C22FCB" w:rsidRPr="00DE75C6" w14:paraId="4D6F4241" w14:textId="77777777" w:rsidTr="00C8292F">
                    <w:tc>
                      <w:tcPr>
                        <w:tcW w:w="2190" w:type="dxa"/>
                        <w:vMerge/>
                      </w:tcPr>
                      <w:p w14:paraId="0AE57464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1FAECDE3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Infúzió bekötése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101D41BA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10 Elvégez: 10</w:t>
                        </w:r>
                      </w:p>
                    </w:tc>
                  </w:tr>
                  <w:tr w:rsidR="00C22FCB" w:rsidRPr="00DE75C6" w14:paraId="069BCB3D" w14:textId="77777777" w:rsidTr="00C8292F">
                    <w:tc>
                      <w:tcPr>
                        <w:tcW w:w="2190" w:type="dxa"/>
                        <w:vMerge/>
                      </w:tcPr>
                      <w:p w14:paraId="404D8E9B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7A64A5B9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Perfúzor használata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0236AD1C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 Elvégez: 5</w:t>
                        </w:r>
                      </w:p>
                    </w:tc>
                  </w:tr>
                  <w:tr w:rsidR="00C22FCB" w:rsidRPr="00DE75C6" w14:paraId="71259F5A" w14:textId="77777777" w:rsidTr="00C8292F">
                    <w:tc>
                      <w:tcPr>
                        <w:tcW w:w="2190" w:type="dxa"/>
                        <w:vMerge/>
                      </w:tcPr>
                      <w:p w14:paraId="21D0A241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5BED5FD5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Dokumentáció elkészítése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3C82633B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20 Közreműködik: 20</w:t>
                        </w:r>
                      </w:p>
                    </w:tc>
                  </w:tr>
                  <w:tr w:rsidR="00C22FCB" w:rsidRPr="00DE75C6" w14:paraId="3C0926D4" w14:textId="77777777" w:rsidTr="00C8292F">
                    <w:tc>
                      <w:tcPr>
                        <w:tcW w:w="2190" w:type="dxa"/>
                        <w:vMerge/>
                      </w:tcPr>
                      <w:p w14:paraId="4B5F467E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212020EC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Kommunikáció a sérülttel / beteggel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689BCCB5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20 Elvégez: 20</w:t>
                        </w:r>
                      </w:p>
                    </w:tc>
                  </w:tr>
                  <w:tr w:rsidR="00C22FCB" w:rsidRPr="00DE75C6" w14:paraId="7EF096A8" w14:textId="77777777" w:rsidTr="00C8292F">
                    <w:tc>
                      <w:tcPr>
                        <w:tcW w:w="2190" w:type="dxa"/>
                        <w:vMerge/>
                      </w:tcPr>
                      <w:p w14:paraId="46235C25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5592DC12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Kardioverzió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7E117634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2 Közreműködik: 2</w:t>
                        </w:r>
                      </w:p>
                    </w:tc>
                  </w:tr>
                  <w:tr w:rsidR="00C22FCB" w:rsidRPr="00DE75C6" w14:paraId="18DDA87C" w14:textId="77777777" w:rsidTr="00C8292F">
                    <w:tc>
                      <w:tcPr>
                        <w:tcW w:w="2190" w:type="dxa"/>
                        <w:vMerge/>
                      </w:tcPr>
                      <w:p w14:paraId="6ED0AF47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56E1278F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Lélegeztetőgép használata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16B78107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 Elvégez: 2</w:t>
                        </w:r>
                      </w:p>
                    </w:tc>
                  </w:tr>
                  <w:tr w:rsidR="00C22FCB" w:rsidRPr="00DE75C6" w14:paraId="28AF3A3D" w14:textId="77777777" w:rsidTr="00C8292F">
                    <w:tc>
                      <w:tcPr>
                        <w:tcW w:w="2190" w:type="dxa"/>
                        <w:vMerge/>
                      </w:tcPr>
                      <w:p w14:paraId="0A9566B4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2091D013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PM terápia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14E823B9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2 Közreműködik: 2</w:t>
                        </w:r>
                      </w:p>
                    </w:tc>
                  </w:tr>
                  <w:tr w:rsidR="00C22FCB" w:rsidRPr="00DE75C6" w14:paraId="4F2913A3" w14:textId="77777777" w:rsidTr="00C8292F">
                    <w:tc>
                      <w:tcPr>
                        <w:tcW w:w="2190" w:type="dxa"/>
                        <w:vMerge/>
                      </w:tcPr>
                      <w:p w14:paraId="6559FB51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480B455E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Endotracheális intubáció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7370F30C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 Elvégez: 2</w:t>
                        </w:r>
                      </w:p>
                    </w:tc>
                  </w:tr>
                  <w:tr w:rsidR="00C22FCB" w:rsidRPr="00DE75C6" w14:paraId="0862CE60" w14:textId="77777777" w:rsidTr="00C8292F">
                    <w:tc>
                      <w:tcPr>
                        <w:tcW w:w="2190" w:type="dxa"/>
                        <w:vMerge/>
                      </w:tcPr>
                      <w:p w14:paraId="75E32CDA" w14:textId="77777777" w:rsidR="00C22FCB" w:rsidRPr="00DE75C6" w:rsidRDefault="00C22FCB" w:rsidP="00C22F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14:paraId="273CA2D4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Defibrilláció</w:t>
                        </w:r>
                      </w:p>
                    </w:tc>
                    <w:tc>
                      <w:tcPr>
                        <w:tcW w:w="3442" w:type="dxa"/>
                      </w:tcPr>
                      <w:p w14:paraId="5C3F6DC4" w14:textId="77777777" w:rsidR="00C22FCB" w:rsidRPr="00DE75C6" w:rsidRDefault="00C22FCB" w:rsidP="00C22FCB">
                        <w:pPr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</w:pPr>
                        <w:r w:rsidRPr="6700A196">
                          <w:rPr>
                            <w:rFonts w:ascii="Playfair Display" w:eastAsia="Playfair Display" w:hAnsi="Playfair Display" w:cs="Playfair Display"/>
                            <w:sz w:val="20"/>
                            <w:szCs w:val="20"/>
                          </w:rPr>
                          <w:t>Megfigyel: 5 Közreműködik: 5 Elvégez: 2</w:t>
                        </w:r>
                      </w:p>
                    </w:tc>
                  </w:tr>
                </w:tbl>
                <w:p w14:paraId="5193E801" w14:textId="79B67BB5" w:rsidR="00C22FCB" w:rsidRPr="000043B5" w:rsidRDefault="00C22FCB" w:rsidP="00C22FCB">
                  <w:pPr>
                    <w:spacing w:after="0" w:line="240" w:lineRule="auto"/>
                    <w:jc w:val="center"/>
                    <w:rPr>
                      <w:rFonts w:ascii="Playfair Display" w:eastAsia="Times New Roman" w:hAnsi="Playfair Display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64639E87" w14:textId="329875E7" w:rsidR="00C22FCB" w:rsidRPr="000043B5" w:rsidRDefault="00C22FCB" w:rsidP="009074C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074CE" w:rsidRPr="000043B5" w14:paraId="7BBDF4F7" w14:textId="77777777" w:rsidTr="00C22FCB">
        <w:trPr>
          <w:jc w:val="center"/>
        </w:trPr>
        <w:tc>
          <w:tcPr>
            <w:tcW w:w="90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9074CE" w:rsidRPr="000043B5" w:rsidRDefault="009074CE" w:rsidP="009074C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9074CE" w:rsidRPr="000043B5" w14:paraId="61F57441" w14:textId="77777777" w:rsidTr="00C22FCB">
        <w:trPr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B9CEB" w14:textId="19535E35" w:rsidR="009074CE" w:rsidRPr="000043B5" w:rsidRDefault="009074CE" w:rsidP="009074CE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Kötelező:</w:t>
            </w:r>
            <w:r w:rsidR="00C22FC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C22FCB" w:rsidRPr="6700A19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  <w:lang w:val="en-GB"/>
              </w:rPr>
              <w:t>Betlehem József: A sürgősségi ellátás elméleti és gyakorlati alapjai, Medicina Könyvkiadó Zrt., Budapest, 2015</w:t>
            </w:r>
          </w:p>
          <w:p w14:paraId="6E9EECF5" w14:textId="0843207E" w:rsidR="009074CE" w:rsidRPr="000043B5" w:rsidRDefault="009074CE" w:rsidP="00C22FCB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074CE" w:rsidRPr="000043B5" w14:paraId="7B01CCD3" w14:textId="77777777" w:rsidTr="00C22FCB">
        <w:trPr>
          <w:jc w:val="center"/>
        </w:trPr>
        <w:tc>
          <w:tcPr>
            <w:tcW w:w="90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9074CE" w:rsidRPr="000043B5" w:rsidRDefault="009074CE" w:rsidP="009074CE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9074CE" w:rsidRPr="000043B5" w14:paraId="20FD1AD0" w14:textId="77777777" w:rsidTr="00C22FCB">
        <w:trPr>
          <w:trHeight w:val="296"/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1BB05E" w14:textId="37B583B2" w:rsidR="009074CE" w:rsidRDefault="009074CE" w:rsidP="009074C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a)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tudása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  <w:p w14:paraId="23FECB5C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prehospitális és hospitális ügyeleti és sürgősségi ellátásban használatos korszerű eszközöket, gyógyszereket, kötszereket és műszereket, azok biztonságos alkalmazását.</w:t>
            </w:r>
          </w:p>
          <w:p w14:paraId="00CC4904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az egészségügyi dokumentáció tipusait, módszertanát.</w:t>
            </w:r>
          </w:p>
          <w:p w14:paraId="3819CD19" w14:textId="77777777" w:rsidR="00C22FCB" w:rsidRPr="00DE75C6" w:rsidRDefault="00C22FCB" w:rsidP="00C22FCB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főbb diagnosztikai módszerek, működési elvét.</w:t>
            </w:r>
          </w:p>
          <w:p w14:paraId="50DE017A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az eszközös és eszköz nélküli légútbiztosítás formáit, ezek kivitelezését és az alkalmazás során betartandó szabályokat.</w:t>
            </w:r>
          </w:p>
          <w:p w14:paraId="6FEB744B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az eszközös és eszköz nélküli lélegeztetés formáit, valamint a leggyakrabban alkalmazott lélegeztetőgépek működését.</w:t>
            </w:r>
          </w:p>
          <w:p w14:paraId="36D94C52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az oxigénadás lehetőségeit.</w:t>
            </w:r>
          </w:p>
          <w:p w14:paraId="4951AEFE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sürgősségi ellátásban alkalmazott monitorozási formákat.</w:t>
            </w:r>
          </w:p>
          <w:p w14:paraId="5DB331DE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lastRenderedPageBreak/>
              <w:t>Ismeri a folyadék- és gyógyszerbejuttatási formákat, a gyógyszerdózis számításának alapelveit, valamint a perfúzor alkalmazását.</w:t>
            </w:r>
          </w:p>
          <w:p w14:paraId="3E8D0B8F" w14:textId="77777777" w:rsidR="00C22FCB" w:rsidRPr="00DE75C6" w:rsidRDefault="00C22FCB" w:rsidP="00C22FCB">
            <w:pPr>
              <w:pStyle w:val="NormlWeb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mobilizáció és immobilizáció lehetséges módszereit, eszközeit.</w:t>
            </w:r>
          </w:p>
          <w:p w14:paraId="440134BB" w14:textId="77777777" w:rsidR="00C22FCB" w:rsidRPr="00DE75C6" w:rsidRDefault="00C22FCB" w:rsidP="00C22FCB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terápiás környezet sajátosságait, a különböző ágytípusok, ágyhelyzetek, testhelyzetek, kényelmi eszközök, mobilizációs eszközök és eljárások hatásait, indikációs körét és a kivitelezés menetét.</w:t>
            </w:r>
          </w:p>
          <w:p w14:paraId="7D50C438" w14:textId="77777777" w:rsidR="00C22FCB" w:rsidRPr="00DE75C6" w:rsidRDefault="00C22FCB" w:rsidP="00C22FCB">
            <w:p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</w:p>
          <w:p w14:paraId="1E8493D4" w14:textId="77777777" w:rsidR="00C22FCB" w:rsidRPr="00DE75C6" w:rsidRDefault="00C22FCB" w:rsidP="00C22FC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fájdalomcsillapítás anatómiai és élettani alapjait, valamint a különböző fájdalomcsillapítási módokat.</w:t>
            </w:r>
          </w:p>
          <w:p w14:paraId="5F27ECAD" w14:textId="77777777" w:rsidR="00C22FCB" w:rsidRPr="00DE75C6" w:rsidRDefault="00C22FCB" w:rsidP="00C22FC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vitális paraméterek mérésének indikációs körét, a beavatkozások és a kapott eredmények értékelésének menetét (beleértve a köpeny és magtemperatúra, láztípusok, légzésszám-minta-típusok, pulzusszám és qualitások, pulzusdeficit, non-invazív méréssel az artériás vérnyomás meghatározását), ismeri a higiénés szükségletek kielégítésének elemeit (beleértve az alkalmazandó eszközöket, eljárásokat és indikációs kört).</w:t>
            </w:r>
          </w:p>
          <w:p w14:paraId="19AF9FB0" w14:textId="77777777" w:rsidR="00C22FCB" w:rsidRPr="00DE75C6" w:rsidRDefault="00C22FCB" w:rsidP="00C22FC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legfontosabb életmentési feladatokat, a leggyakrabban előforduló egészségkárosodások esetén szükséges teendőket a mindenkor hatályos ajánlásoknak megfelelően, az alapszintű életmentő beavatkozásokat (BLS) és eszközöket.</w:t>
            </w:r>
          </w:p>
          <w:p w14:paraId="018DD990" w14:textId="77777777" w:rsidR="00C22FCB" w:rsidRPr="00DE75C6" w:rsidRDefault="00C22FCB" w:rsidP="00C22FC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Részletesen ismeri a saját szakterületén alkalmazott egészségügyi dokumentáció vezetésének, kezelésének előírásait, valamint az adatszolgáltatással összefüggő szabályokat.</w:t>
            </w:r>
          </w:p>
          <w:p w14:paraId="39E02CC0" w14:textId="77777777" w:rsidR="00C22FCB" w:rsidRPr="00DE75C6" w:rsidRDefault="00C22FCB" w:rsidP="00C22FC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 munkavégzésre vonatkozó munkabiztonsági és munkaegészségügyi követelményeket, tűzvédelmi előírásokat, a mindenkori hatályos jogszabályi előírásokat, és az uniós szabályokat, ismeri a munkavállaló egészségét, és biztonságát veszélyeztető kockázatokat, és a munkaeszközök biztonságos használatát.</w:t>
            </w:r>
          </w:p>
          <w:p w14:paraId="68218782" w14:textId="77777777" w:rsidR="00C22FCB" w:rsidRPr="00DE75C6" w:rsidRDefault="00C22FCB" w:rsidP="00C22FC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Ismeri az egészségtudományi szakterület szakmai szókincsét anyanyelvén, valamint latin nyelven (orvosi latin).</w:t>
            </w:r>
          </w:p>
          <w:p w14:paraId="498A0D51" w14:textId="77777777" w:rsidR="00C22FCB" w:rsidRDefault="00C22FCB" w:rsidP="009074C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  <w:p w14:paraId="3E2E64EA" w14:textId="064006D4" w:rsidR="009074CE" w:rsidRPr="000043B5" w:rsidRDefault="009074CE" w:rsidP="009074C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  <w:p w14:paraId="14E2454B" w14:textId="32F3C21A" w:rsidR="009074CE" w:rsidRDefault="009074CE" w:rsidP="009074C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b) képességei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  <w:p w14:paraId="08FAC3AF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 sürgősségi ellátás során használatos eszközöket rendeltetésszerűen, az azokra vonatkozó biztonsági és egyéb szabályok betartása mellett használni.</w:t>
            </w:r>
          </w:p>
          <w:p w14:paraId="1731D284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betegellátó team munkájának a megszervezésére, irányítására, értékelésére és korrekciójára.</w:t>
            </w:r>
          </w:p>
          <w:p w14:paraId="6D65BF6F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 sürgősségi kardiológiai elektroterápia különböző formáinak kivitelezésére.</w:t>
            </w:r>
          </w:p>
          <w:p w14:paraId="736DE8FA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az eszközös és eszköz nélküli légútbiztosítás formáinak kivitelezésére.</w:t>
            </w:r>
          </w:p>
          <w:p w14:paraId="5A8FAF23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 lélegeztetés különböző formáinak kivitelezésére, a leggyakrabban alkalmazott lélegeztetőgépek működtetésére.</w:t>
            </w:r>
          </w:p>
          <w:p w14:paraId="553EB658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oxigénadásra.</w:t>
            </w:r>
          </w:p>
          <w:p w14:paraId="61E625A2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 sürgősségi ellátásban alkalmazott monitorozási formák kivitelezésére.</w:t>
            </w:r>
          </w:p>
          <w:p w14:paraId="553EA59F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kivitelezni a különböző, sürgősségi ellátás során alkalmazott folyadék- és gyógyszerbejuttatási formák kivitelezésére/megteremtésére, a gyógyszerdózis kiszámítására, valamint a perfúzor használatára.</w:t>
            </w:r>
          </w:p>
          <w:p w14:paraId="5F64A292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 xml:space="preserve">Képes a mobilizáció és immobilizáció lehetséges módszereinek kivitelezésére. </w:t>
            </w:r>
          </w:p>
          <w:p w14:paraId="32BDA4C4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megérteni a betegellátás során a gyógyszertan, a klinikum, a diagnosztika és a terápia összefüggéseit, és mindezek ismeretében képes szakterületének megfelelően szakdolgozói feladatainak ellátására.</w:t>
            </w:r>
          </w:p>
          <w:p w14:paraId="3066B1FF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 gyakorlati tevékenységébe megfelelően integrálni a biofizikai- és egészségügyi műszaki ismereteket, valamint képes alkalmazni ezeket a diagnosztikus vizsgálati eljárások és terápiás eszközök használata során.</w:t>
            </w:r>
          </w:p>
          <w:p w14:paraId="6EC73F5A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lastRenderedPageBreak/>
              <w:t>Képes a vitális paraméterek megfigyelését (beleértve a köpeny és magtemperatúra, láztípusok, légzésszám-minta-típusok, pulzusszám és qualitások, pulzusdeficit, non-invazív méréssel a vérnyomás meghatározását) önállóan kivitelezni, a kapott eredményeket értékelni.</w:t>
            </w:r>
          </w:p>
          <w:p w14:paraId="6CD656FB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 fizikális lázcsillapítás kivitelezésére.</w:t>
            </w:r>
          </w:p>
          <w:p w14:paraId="75D3BB9D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 fájdalom felmérésére és a fizikális fájdalomcsillapítási eljárások alkalmazására.</w:t>
            </w:r>
          </w:p>
          <w:p w14:paraId="56D16D8B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adekvát, a partnerhez igazított szakmai kommunikáció folytatására, szóban és írásban is, hatékonyan kommunikál a pácienssel, családdal, közösséggel, az interperszonális készségek révén képes a bizalom kialakítására a pácienssel, családdal, közösséggel.</w:t>
            </w:r>
          </w:p>
          <w:p w14:paraId="3B6462E9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átlátni az egészségügyet meghatározó jogforrások rendszerét, azok alkalmazásának szabályait, valamint megfelelően alkalmazza a releváns jogi szakkifejezéseket, kompetenciahatárainak megfelelően tájékoztatást nyújt a klienseknek a betegjogokról és azok érvényre juttatásának lehetőségeiről.</w:t>
            </w:r>
          </w:p>
          <w:p w14:paraId="15335053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Egyéni és közösségi szinten képes felmérni a lakosság egészségi állapotát, prioritásokat meghatározni, és képessé válik hatékony beavatkozás megtervezésére, végrehajtására.</w:t>
            </w:r>
          </w:p>
          <w:p w14:paraId="0DFB46BF" w14:textId="6C9D4529" w:rsidR="009074CE" w:rsidRPr="000043B5" w:rsidRDefault="00C22FCB" w:rsidP="00C22FCB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Képes alkalmazni azokat az eszköz nélküli és esetenként eszközös beavatkozásokat, melyek a hirtelen bekövetkezett egészségkárosodás esetén a beteg, sérült életét megmenthetik</w:t>
            </w:r>
          </w:p>
          <w:p w14:paraId="7BD5B997" w14:textId="7ACEA3AC" w:rsidR="009074CE" w:rsidRDefault="009074CE" w:rsidP="009074C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attitűd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  <w:r w:rsidR="00C22FC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</w:p>
          <w:p w14:paraId="29DC9447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Times New Roman" w:hAnsi="Playfair Display"/>
                <w:sz w:val="20"/>
                <w:szCs w:val="20"/>
              </w:rPr>
              <w:t xml:space="preserve"> </w:t>
            </w: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Nyitott és fogékony a mentéstechnika tudományosan bizonyított szakmai alapjainak megismerésére és alkalmazására.</w:t>
            </w:r>
          </w:p>
          <w:p w14:paraId="0E3121B7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Igényli a szakmai fejlődést, nyitott az új tudományos eredmények befogadására, törekszik azok megismerésére.</w:t>
            </w:r>
          </w:p>
          <w:p w14:paraId="0DE72C9F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Elkötelezett a minőségi betegellátó tevékenység iránt, saját munkáját indokolt esetben, az ennek történő megfelelés érdekében kritikával illeti.</w:t>
            </w:r>
          </w:p>
          <w:p w14:paraId="78A779A5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Munkája során betartja az egészségügyi dolgozókra vonatkozó kötelezettségeket, és felismeri felelősségének határait.</w:t>
            </w:r>
          </w:p>
          <w:p w14:paraId="4BF29D63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Döntéseit a szakterület jogi és etikai szabályainak figyelembevételével hozza.</w:t>
            </w:r>
          </w:p>
          <w:p w14:paraId="358CAEEA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Empatikus módon viszonyul a kliensekhez.</w:t>
            </w:r>
          </w:p>
          <w:p w14:paraId="711F1993" w14:textId="77777777" w:rsidR="00C22FCB" w:rsidRPr="00DE75C6" w:rsidRDefault="00C22FCB" w:rsidP="00C22FCB">
            <w:pPr>
              <w:pStyle w:val="NormlWeb"/>
              <w:numPr>
                <w:ilvl w:val="0"/>
                <w:numId w:val="8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Elkötelezett a minőségi szakmai munkavégzés mellett.</w:t>
            </w:r>
          </w:p>
          <w:p w14:paraId="22FB7637" w14:textId="5125230C" w:rsidR="009074CE" w:rsidRPr="000043B5" w:rsidRDefault="009074CE" w:rsidP="009074C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  <w:p w14:paraId="23F2EFE7" w14:textId="226F33D5" w:rsidR="009074CE" w:rsidRDefault="009074CE" w:rsidP="009074C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d) </w:t>
            </w:r>
            <w:r w:rsidRPr="000043B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autonómiája és felelőssége</w:t>
            </w:r>
            <w:r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  <w:p w14:paraId="7E9D0A08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>
              <w:rPr>
                <w:rFonts w:ascii="Playfair Display" w:eastAsia="Times New Roman" w:hAnsi="Playfair Display"/>
                <w:sz w:val="20"/>
                <w:szCs w:val="20"/>
              </w:rPr>
              <w:t xml:space="preserve"> </w:t>
            </w: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A beteg életét közvetve vagy közvetlenül veszélyeztető kórfolyamatok esetén, azok felismerését követően önállóan meghozza a döntést az ellátás során alkalmazandó eszköz, módszer kiválasztására vonatkozóan, majd ezeket – szükség esetén segítők bevonásával – rendeltetés szerűen alkalmazza is, a beteg/sérült életkori sajátosságainak figyelembevételével.</w:t>
            </w:r>
          </w:p>
          <w:p w14:paraId="6996CC44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Szakmai fejlődésének tudatos és felelős irányítója, hivatását felelősen, tudományos és gyakorlati megalapozottsággal képviseli.</w:t>
            </w:r>
          </w:p>
          <w:p w14:paraId="5927342E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Munkáját a szakma etikai normáinak betartásával önállóan vagy team-munkában végzi.</w:t>
            </w:r>
          </w:p>
          <w:p w14:paraId="50099CA1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Felelősséget vállal saját és az általa vezetett team tevékenységéért, valamint a munkája során dokumentált adatokért.</w:t>
            </w:r>
          </w:p>
          <w:p w14:paraId="1BCAB71D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Kezdeményez, önállóan döntést hoz.</w:t>
            </w:r>
          </w:p>
          <w:p w14:paraId="4ADF9938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Partneri szinten együttműködik az egészségügyi és szociális ellátórendszer tagjaival.</w:t>
            </w:r>
          </w:p>
          <w:p w14:paraId="7F05D055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Minőségi ellátást végez a szakmai irányelveknek megfelelően.</w:t>
            </w:r>
          </w:p>
          <w:p w14:paraId="1D1648AA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Felelősséggel használja intézményeinek erőforrásait.</w:t>
            </w:r>
          </w:p>
          <w:p w14:paraId="7AEE57ED" w14:textId="77777777" w:rsidR="00C22FCB" w:rsidRPr="00DE75C6" w:rsidRDefault="00C22FCB" w:rsidP="00C22FCB">
            <w:pPr>
              <w:pStyle w:val="NormlWeb"/>
              <w:numPr>
                <w:ilvl w:val="0"/>
                <w:numId w:val="9"/>
              </w:numPr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lastRenderedPageBreak/>
              <w:t>Felelősen cselekszik sürgős szükség esetén.</w:t>
            </w:r>
          </w:p>
          <w:p w14:paraId="023406FF" w14:textId="24B02BD1" w:rsidR="009074CE" w:rsidRPr="000043B5" w:rsidRDefault="00C22FCB" w:rsidP="00C22FCB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6700A196">
              <w:rPr>
                <w:rFonts w:ascii="Playfair Display" w:eastAsia="Playfair Display" w:hAnsi="Playfair Display" w:cs="Playfair Display"/>
                <w:sz w:val="20"/>
                <w:szCs w:val="20"/>
              </w:rPr>
              <w:t>Munkáját a munkavégzésre vonatkozó munkabiztonsági és munkaegészségügyi követelményeket, valamint a mindenkori hatályos törvényi előírásokat betartva önállóan végzi.</w:t>
            </w:r>
          </w:p>
        </w:tc>
      </w:tr>
      <w:tr w:rsidR="009074CE" w:rsidRPr="00EB0B9B" w14:paraId="27E3DFB6" w14:textId="77777777" w:rsidTr="00C22FCB">
        <w:trPr>
          <w:trHeight w:val="338"/>
          <w:jc w:val="center"/>
        </w:trPr>
        <w:tc>
          <w:tcPr>
            <w:tcW w:w="90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8FA5D8E" w14:textId="1418B6B2" w:rsidR="009074CE" w:rsidRPr="00EB0B9B" w:rsidRDefault="009074CE" w:rsidP="009074CE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  <w:r w:rsidR="00C22FCB">
              <w:rPr>
                <w:rFonts w:ascii="Playfair Display" w:hAnsi="Playfair Display"/>
                <w:b/>
              </w:rPr>
              <w:t xml:space="preserve"> Schiszler Bence, tanársegéd</w:t>
            </w:r>
          </w:p>
        </w:tc>
      </w:tr>
      <w:tr w:rsidR="009074CE" w:rsidRPr="00EB0B9B" w14:paraId="5AD7EF17" w14:textId="77777777" w:rsidTr="00C22FCB">
        <w:trPr>
          <w:trHeight w:val="337"/>
          <w:jc w:val="center"/>
        </w:trPr>
        <w:tc>
          <w:tcPr>
            <w:tcW w:w="90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9074CE" w:rsidRPr="000043B5" w:rsidRDefault="009074CE" w:rsidP="009074CE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8ACA" w14:textId="77777777" w:rsidR="0017383B" w:rsidRDefault="0017383B" w:rsidP="00DE2351">
      <w:pPr>
        <w:spacing w:after="0" w:line="240" w:lineRule="auto"/>
      </w:pPr>
      <w:r>
        <w:separator/>
      </w:r>
    </w:p>
  </w:endnote>
  <w:endnote w:type="continuationSeparator" w:id="0">
    <w:p w14:paraId="658CD93F" w14:textId="77777777" w:rsidR="0017383B" w:rsidRDefault="0017383B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0AF6" w14:textId="77777777" w:rsidR="0017383B" w:rsidRDefault="0017383B" w:rsidP="00DE2351">
      <w:pPr>
        <w:spacing w:after="0" w:line="240" w:lineRule="auto"/>
      </w:pPr>
      <w:r>
        <w:separator/>
      </w:r>
    </w:p>
  </w:footnote>
  <w:footnote w:type="continuationSeparator" w:id="0">
    <w:p w14:paraId="5E8EEFA6" w14:textId="77777777" w:rsidR="0017383B" w:rsidRDefault="0017383B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C63"/>
    <w:multiLevelType w:val="hybridMultilevel"/>
    <w:tmpl w:val="0C60231A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012CA"/>
    <w:multiLevelType w:val="hybridMultilevel"/>
    <w:tmpl w:val="686465E2"/>
    <w:lvl w:ilvl="0" w:tplc="B66A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FAC0697"/>
    <w:multiLevelType w:val="hybridMultilevel"/>
    <w:tmpl w:val="2102CE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27DB"/>
    <w:multiLevelType w:val="hybridMultilevel"/>
    <w:tmpl w:val="69D80A00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85A19"/>
    <w:multiLevelType w:val="hybridMultilevel"/>
    <w:tmpl w:val="6F56A9E8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11214">
    <w:abstractNumId w:val="5"/>
  </w:num>
  <w:num w:numId="2" w16cid:durableId="772822326">
    <w:abstractNumId w:val="4"/>
  </w:num>
  <w:num w:numId="3" w16cid:durableId="1360161607">
    <w:abstractNumId w:val="2"/>
  </w:num>
  <w:num w:numId="4" w16cid:durableId="1872643936">
    <w:abstractNumId w:val="1"/>
  </w:num>
  <w:num w:numId="5" w16cid:durableId="1438675331">
    <w:abstractNumId w:val="6"/>
  </w:num>
  <w:num w:numId="6" w16cid:durableId="1193612804">
    <w:abstractNumId w:val="8"/>
  </w:num>
  <w:num w:numId="7" w16cid:durableId="1141003787">
    <w:abstractNumId w:val="3"/>
  </w:num>
  <w:num w:numId="8" w16cid:durableId="1647853095">
    <w:abstractNumId w:val="0"/>
  </w:num>
  <w:num w:numId="9" w16cid:durableId="2135635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A14F3"/>
    <w:rsid w:val="000E715B"/>
    <w:rsid w:val="0017383B"/>
    <w:rsid w:val="002D1C93"/>
    <w:rsid w:val="009074CE"/>
    <w:rsid w:val="00C22FCB"/>
    <w:rsid w:val="00D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table" w:styleId="Rcsostblzat">
    <w:name w:val="Table Grid"/>
    <w:basedOn w:val="Normltblzat"/>
    <w:uiPriority w:val="59"/>
    <w:rsid w:val="00C22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semiHidden/>
    <w:unhideWhenUsed/>
    <w:rsid w:val="00C22F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4.xml><?xml version="1.0" encoding="utf-8"?>
<ds:datastoreItem xmlns:ds="http://schemas.openxmlformats.org/officeDocument/2006/customXml" ds:itemID="{2E502447-28A5-4E6F-96BF-316B2183A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8694</Characters>
  <Application>Microsoft Office Word</Application>
  <DocSecurity>4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2023-10-26T11:58:00Z</dcterms:created>
  <dcterms:modified xsi:type="dcterms:W3CDTF">2023-10-26T11:58:00Z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