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13"/>
        <w:gridCol w:w="2199"/>
      </w:tblGrid>
      <w:tr xmlns:wp14="http://schemas.microsoft.com/office/word/2010/wordml" w:rsidRPr="00403737" w:rsidR="00E77819" w:rsidTr="00AC6CB2" w14:paraId="42A752FA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B275CE" w:rsidRDefault="00E77819" w14:paraId="68AA544D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B275CE">
              <w:rPr>
                <w:b/>
                <w:sz w:val="22"/>
                <w:szCs w:val="22"/>
              </w:rPr>
              <w:t>Mentésszervezés, mentésirányítás, katasztrófa</w:t>
            </w:r>
            <w:r w:rsidR="00EA28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75CE">
              <w:rPr>
                <w:b/>
                <w:sz w:val="22"/>
                <w:szCs w:val="22"/>
              </w:rPr>
              <w:t>medicína</w:t>
            </w:r>
            <w:proofErr w:type="spellEnd"/>
            <w:r w:rsidR="00EB5922">
              <w:rPr>
                <w:b/>
                <w:sz w:val="22"/>
                <w:szCs w:val="22"/>
              </w:rPr>
              <w:t xml:space="preserve"> elmélet</w:t>
            </w:r>
            <w:bookmarkStart w:name="_GoBack" w:id="0"/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3B43DB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3B43DB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C6CB2" w14:paraId="37CEDDC2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565F50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275CE">
              <w:rPr>
                <w:b/>
                <w:sz w:val="22"/>
                <w:szCs w:val="22"/>
              </w:rPr>
              <w:t>42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E570FE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E570FE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E570FE">
              <w:rPr>
                <w:sz w:val="22"/>
                <w:szCs w:val="22"/>
              </w:rPr>
              <w:t>gyj</w:t>
            </w:r>
            <w:proofErr w:type="spellEnd"/>
            <w:r w:rsidRPr="00E570FE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435547FE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570FE" w:rsidRDefault="00E77819" w14:paraId="1B5A7058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E570FE">
              <w:rPr>
                <w:sz w:val="22"/>
                <w:szCs w:val="22"/>
              </w:rPr>
              <w:t>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562AB767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570FE" w:rsidRDefault="00E77819" w14:paraId="4EEA2F7D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B275CE">
              <w:rPr>
                <w:i/>
                <w:sz w:val="22"/>
                <w:szCs w:val="22"/>
              </w:rPr>
              <w:t>Első integrált szigorlat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19F885AF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19F885AF" w14:paraId="4DC07AC8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B02395" w:rsidR="00B02395" w:rsidP="00B02395" w:rsidRDefault="00B275CE" w14:paraId="169E2D3C" wp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harmadéves hallgatók mentésszervezés (14 óra), mentésirányítás (14 óra) és katasztrófa </w:t>
            </w:r>
            <w:proofErr w:type="spellStart"/>
            <w:r>
              <w:rPr>
                <w:sz w:val="24"/>
                <w:szCs w:val="24"/>
              </w:rPr>
              <w:t>medicína</w:t>
            </w:r>
            <w:proofErr w:type="spellEnd"/>
            <w:r>
              <w:rPr>
                <w:sz w:val="24"/>
                <w:szCs w:val="24"/>
              </w:rPr>
              <w:t xml:space="preserve"> (14 óra) tágyból szereznek ismereteket. A t</w:t>
            </w:r>
            <w:r w:rsidR="00EA28B3">
              <w:rPr>
                <w:sz w:val="24"/>
                <w:szCs w:val="24"/>
              </w:rPr>
              <w:t>antárgy célja, hogy a hallgatók</w:t>
            </w:r>
            <w:r>
              <w:rPr>
                <w:sz w:val="24"/>
                <w:szCs w:val="24"/>
              </w:rPr>
              <w:t xml:space="preserve"> á</w:t>
            </w:r>
            <w:r w:rsidRPr="00B02395" w:rsidR="00B02395">
              <w:rPr>
                <w:sz w:val="24"/>
                <w:szCs w:val="24"/>
              </w:rPr>
              <w:t>tfogó ismeretek</w:t>
            </w:r>
            <w:r>
              <w:rPr>
                <w:sz w:val="24"/>
                <w:szCs w:val="24"/>
              </w:rPr>
              <w:t>et kapjanak</w:t>
            </w:r>
            <w:r w:rsidRPr="00B02395" w:rsidR="00B02395">
              <w:rPr>
                <w:sz w:val="24"/>
                <w:szCs w:val="24"/>
              </w:rPr>
              <w:t xml:space="preserve"> tömeges balesetek illetve katasztrófa helyzetek egészségügyi felszámolásához, a helyes cselekvési sorrend kialakításához. A hallgatókat képessé tenni arra, hogy felismerjék a katasztrófa helyzeteket, és a tőlük elvárható optimális cselekvéseket hajtsák végre.</w:t>
            </w:r>
          </w:p>
          <w:p w:rsidRPr="000F76A6" w:rsidR="007A2609" w:rsidP="00180838" w:rsidRDefault="007A2609" w14:paraId="5DAB6C7B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403737" w:rsidR="007A2609" w:rsidTr="19F885AF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19F885AF" w14:paraId="0316BB7D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5E3D" w:rsidP="00B90484" w:rsidRDefault="00265E3D" w14:paraId="5F5A03D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>1. alkalom</w:t>
            </w:r>
            <w:r>
              <w:rPr>
                <w:sz w:val="24"/>
                <w:szCs w:val="24"/>
              </w:rPr>
              <w:t xml:space="preserve">: </w:t>
            </w:r>
            <w:r w:rsidRPr="00265E3D">
              <w:rPr>
                <w:sz w:val="24"/>
                <w:szCs w:val="24"/>
              </w:rPr>
              <w:t>A mentésirányítás alap-, és alrendszerei</w:t>
            </w:r>
          </w:p>
          <w:p w:rsidR="00265E3D" w:rsidP="00B90484" w:rsidRDefault="00265E3D" w14:paraId="6FCA50C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Pr="00265E3D">
              <w:rPr>
                <w:sz w:val="24"/>
                <w:szCs w:val="24"/>
              </w:rPr>
              <w:t>A mentésirányítás vészeljárási működése</w:t>
            </w:r>
          </w:p>
          <w:p w:rsidR="00265E3D" w:rsidP="00B90484" w:rsidRDefault="00265E3D" w14:paraId="7F7E21F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265E3D">
              <w:rPr>
                <w:sz w:val="24"/>
                <w:szCs w:val="24"/>
              </w:rPr>
              <w:t>3. alkalom: Katasztrófavédelmi, rendvédelmi és társ szerv</w:t>
            </w:r>
            <w:r w:rsidR="000960B8">
              <w:rPr>
                <w:sz w:val="24"/>
                <w:szCs w:val="24"/>
              </w:rPr>
              <w:t xml:space="preserve">ezetek irányítástechnológia </w:t>
            </w:r>
            <w:r w:rsidRPr="00265E3D">
              <w:rPr>
                <w:sz w:val="24"/>
                <w:szCs w:val="24"/>
              </w:rPr>
              <w:t>rendszerei</w:t>
            </w:r>
          </w:p>
          <w:p w:rsidRPr="00B722DF" w:rsidR="00D87527" w:rsidP="00B90484" w:rsidRDefault="00265E3D" w14:paraId="7E2D56E5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="00B275CE">
              <w:rPr>
                <w:sz w:val="24"/>
                <w:szCs w:val="24"/>
              </w:rPr>
              <w:t>Alapvető</w:t>
            </w:r>
            <w:r w:rsidRPr="00B275CE" w:rsidR="00B275CE">
              <w:rPr>
                <w:sz w:val="24"/>
                <w:szCs w:val="24"/>
              </w:rPr>
              <w:t xml:space="preserve"> veszélyforrások felismerése</w:t>
            </w:r>
          </w:p>
          <w:p w:rsidRPr="00B722DF" w:rsidR="00D87527" w:rsidP="00B90484" w:rsidRDefault="00265E3D" w14:paraId="53F715C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="00B275CE">
              <w:rPr>
                <w:sz w:val="24"/>
                <w:szCs w:val="24"/>
              </w:rPr>
              <w:t>Humán erő</w:t>
            </w:r>
            <w:r w:rsidRPr="00B275CE" w:rsidR="00B275CE">
              <w:rPr>
                <w:sz w:val="24"/>
                <w:szCs w:val="24"/>
              </w:rPr>
              <w:t>források: egység vezetése</w:t>
            </w:r>
          </w:p>
          <w:p w:rsidRPr="00E570FE" w:rsidR="00E570FE" w:rsidP="00E570FE" w:rsidRDefault="00E570FE" w14:paraId="54032DB9" wp14:textId="77777777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r w:rsidR="00265E3D">
              <w:rPr>
                <w:b w:val="0"/>
              </w:rPr>
              <w:t>6</w:t>
            </w:r>
            <w:r w:rsidRPr="00E570FE" w:rsidR="0024322F">
              <w:rPr>
                <w:b w:val="0"/>
              </w:rPr>
              <w:t xml:space="preserve">. alkalom: </w:t>
            </w:r>
            <w:r w:rsidR="00B275CE">
              <w:rPr>
                <w:b w:val="0"/>
                <w:bCs w:val="0"/>
              </w:rPr>
              <w:t>Esethelyszín megítélése, megközelí</w:t>
            </w:r>
            <w:r w:rsidRPr="00B275CE" w:rsidR="00B275CE">
              <w:rPr>
                <w:b w:val="0"/>
                <w:bCs w:val="0"/>
              </w:rPr>
              <w:t>tése</w:t>
            </w:r>
            <w:r w:rsidRPr="00E570FE">
              <w:rPr>
                <w:b w:val="0"/>
                <w:bCs w:val="0"/>
              </w:rPr>
              <w:t>.</w:t>
            </w:r>
          </w:p>
          <w:p w:rsidRPr="00B722DF" w:rsidR="00D87527" w:rsidP="00E570FE" w:rsidRDefault="00265E3D" w14:paraId="3A1DEC6F" wp14:textId="7777777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70FE">
              <w:rPr>
                <w:sz w:val="24"/>
                <w:szCs w:val="24"/>
              </w:rPr>
              <w:t xml:space="preserve">. alkalom: </w:t>
            </w:r>
            <w:r w:rsidR="00B275CE">
              <w:rPr>
                <w:sz w:val="24"/>
                <w:szCs w:val="24"/>
              </w:rPr>
              <w:t>Mentő jármű</w:t>
            </w:r>
            <w:r w:rsidRPr="00B275CE" w:rsidR="00B275CE">
              <w:rPr>
                <w:sz w:val="24"/>
                <w:szCs w:val="24"/>
              </w:rPr>
              <w:t>vek</w:t>
            </w:r>
            <w:r w:rsidR="007E328B">
              <w:rPr>
                <w:sz w:val="24"/>
                <w:szCs w:val="24"/>
              </w:rPr>
              <w:t xml:space="preserve"> felosztása, jellemzése, bevethetősége</w:t>
            </w:r>
          </w:p>
          <w:p w:rsidR="00D87527" w:rsidP="00B90484" w:rsidRDefault="00265E3D" w14:paraId="7092C29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Pr="00B275CE" w:rsidR="00B275CE">
              <w:rPr>
                <w:sz w:val="24"/>
                <w:szCs w:val="24"/>
              </w:rPr>
              <w:t>A katasztrófák fogalma</w:t>
            </w:r>
            <w:r w:rsidR="004568D1">
              <w:rPr>
                <w:sz w:val="24"/>
                <w:szCs w:val="24"/>
              </w:rPr>
              <w:t>.</w:t>
            </w:r>
            <w:r w:rsidR="00B275CE">
              <w:rPr>
                <w:sz w:val="24"/>
                <w:szCs w:val="24"/>
              </w:rPr>
              <w:t xml:space="preserve"> </w:t>
            </w:r>
            <w:r w:rsidRPr="00B275CE" w:rsidR="00B275CE">
              <w:rPr>
                <w:sz w:val="24"/>
                <w:szCs w:val="24"/>
              </w:rPr>
              <w:t>A katasztrófák csoportja</w:t>
            </w:r>
            <w:r w:rsidR="00B275CE">
              <w:rPr>
                <w:sz w:val="24"/>
                <w:szCs w:val="24"/>
              </w:rPr>
              <w:t xml:space="preserve">. </w:t>
            </w:r>
            <w:r w:rsidRPr="00B275CE" w:rsidR="00B275CE">
              <w:rPr>
                <w:sz w:val="24"/>
                <w:szCs w:val="24"/>
              </w:rPr>
              <w:t>A katasztrófák okai</w:t>
            </w:r>
          </w:p>
          <w:p w:rsidR="00B275CE" w:rsidP="00B90484" w:rsidRDefault="00265E3D" w14:paraId="685BFD09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65E3D">
              <w:rPr>
                <w:sz w:val="24"/>
                <w:szCs w:val="24"/>
              </w:rPr>
              <w:t xml:space="preserve">. alkalom: </w:t>
            </w:r>
            <w:r w:rsidRPr="00B275CE" w:rsidR="00B275CE">
              <w:rPr>
                <w:sz w:val="24"/>
                <w:szCs w:val="24"/>
              </w:rPr>
              <w:t>Primer, szekunder és tercier katasztrófá</w:t>
            </w:r>
            <w:r w:rsidR="00B275CE">
              <w:rPr>
                <w:sz w:val="24"/>
                <w:szCs w:val="24"/>
              </w:rPr>
              <w:t>k</w:t>
            </w:r>
          </w:p>
          <w:p w:rsidR="00B275CE" w:rsidP="00B90484" w:rsidRDefault="00265E3D" w14:paraId="0A9AB36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5E3D">
              <w:rPr>
                <w:sz w:val="24"/>
                <w:szCs w:val="24"/>
              </w:rPr>
              <w:t xml:space="preserve">. alkalom: </w:t>
            </w:r>
            <w:r w:rsidRPr="00B275CE" w:rsidR="00B275CE">
              <w:rPr>
                <w:sz w:val="24"/>
                <w:szCs w:val="24"/>
              </w:rPr>
              <w:t>Tömeges balesetek fogalma hazánkban</w:t>
            </w:r>
          </w:p>
          <w:p w:rsidRPr="00B722DF" w:rsidR="00265E3D" w:rsidP="00B90484" w:rsidRDefault="00265E3D" w14:paraId="17FFF3A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265E3D">
              <w:rPr>
                <w:sz w:val="24"/>
                <w:szCs w:val="24"/>
              </w:rPr>
              <w:t>. alkalom: Katasztrófák elleni védekezés tervezése és megvalósítása</w:t>
            </w:r>
          </w:p>
          <w:p w:rsidRPr="007E38FC" w:rsidR="00E570FE" w:rsidP="00E570FE" w:rsidRDefault="00265E3D" w14:paraId="57CC3E8E" wp14:textId="77777777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E570FE">
              <w:rPr>
                <w:b w:val="0"/>
                <w:bCs w:val="0"/>
              </w:rPr>
              <w:t xml:space="preserve">. alkalom: </w:t>
            </w:r>
            <w:r w:rsidRPr="00B275CE" w:rsidR="00B275CE">
              <w:rPr>
                <w:b w:val="0"/>
                <w:bCs w:val="0"/>
              </w:rPr>
              <w:t>Katasztrófa vs. Tömegeskárhely értelmezés</w:t>
            </w:r>
            <w:r w:rsidRPr="007E38FC" w:rsidR="00E570FE">
              <w:rPr>
                <w:b w:val="0"/>
                <w:bCs w:val="0"/>
              </w:rPr>
              <w:t>.</w:t>
            </w:r>
          </w:p>
          <w:p w:rsidRPr="007E38FC" w:rsidR="00E570FE" w:rsidP="00E570FE" w:rsidRDefault="00265E3D" w14:paraId="0A25C570" wp14:textId="77777777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E570FE">
              <w:rPr>
                <w:b w:val="0"/>
                <w:bCs w:val="0"/>
              </w:rPr>
              <w:t xml:space="preserve">. alkalom: </w:t>
            </w:r>
            <w:r w:rsidRPr="00B275CE" w:rsidR="00B275CE">
              <w:rPr>
                <w:b w:val="0"/>
                <w:bCs w:val="0"/>
              </w:rPr>
              <w:t>Kárhelyek logisztikai feldolgozása</w:t>
            </w:r>
            <w:r w:rsidRPr="007E38FC" w:rsidR="00E570FE">
              <w:rPr>
                <w:b w:val="0"/>
                <w:bCs w:val="0"/>
              </w:rPr>
              <w:t>.</w:t>
            </w:r>
          </w:p>
          <w:p w:rsidR="00B275CE" w:rsidP="00E570FE" w:rsidRDefault="00265E3D" w14:paraId="508F0370" wp14:textId="77777777">
            <w:pPr>
              <w:pStyle w:val="Szvegtrz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="00E570FE">
              <w:rPr>
                <w:b w:val="0"/>
                <w:bCs w:val="0"/>
              </w:rPr>
              <w:t xml:space="preserve">. alkalom: </w:t>
            </w:r>
            <w:r w:rsidRPr="00B275CE" w:rsidR="00B275CE">
              <w:rPr>
                <w:b w:val="0"/>
                <w:bCs w:val="0"/>
              </w:rPr>
              <w:t>Esettanulmányok</w:t>
            </w:r>
            <w:r w:rsidR="007E328B">
              <w:rPr>
                <w:b w:val="0"/>
                <w:bCs w:val="0"/>
              </w:rPr>
              <w:t>, gyakorlati példák</w:t>
            </w:r>
            <w:r w:rsidRPr="007E328B" w:rsidR="007E328B">
              <w:rPr>
                <w:b w:val="0"/>
                <w:bCs w:val="0"/>
              </w:rPr>
              <w:t xml:space="preserve"> elemzése</w:t>
            </w:r>
          </w:p>
          <w:p w:rsidRPr="00B722DF" w:rsidR="0024322F" w:rsidP="00265E3D" w:rsidRDefault="0024322F" w14:paraId="02EB378F" wp14:textId="77777777">
            <w:pPr>
              <w:pStyle w:val="Szvegtrzs"/>
              <w:rPr>
                <w:b w:val="0"/>
                <w:sz w:val="22"/>
                <w:szCs w:val="22"/>
              </w:rPr>
            </w:pPr>
          </w:p>
        </w:tc>
      </w:tr>
      <w:tr xmlns:wp14="http://schemas.microsoft.com/office/word/2010/wordml" w:rsidRPr="00403737" w:rsidR="00E77819" w:rsidTr="19F885AF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19F885AF" w14:paraId="4D7CD92D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19F885AF" w:rsidP="19F885AF" w:rsidRDefault="19F885AF" w14:paraId="72BAF9CC" w14:textId="1C582510">
            <w:pPr>
              <w:pStyle w:val="Norml"/>
              <w:spacing w:after="160" w:line="276" w:lineRule="auto"/>
              <w:jc w:val="both"/>
            </w:pP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Betlehem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szerk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.): A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sürgősségi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ellátás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elméleti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és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gyakorlati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alapjai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könyv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vonatkozó</w:t>
            </w:r>
            <w:proofErr w:type="spellEnd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9F885AF" w:rsidR="19F885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fejezetei</w:t>
            </w:r>
            <w:proofErr w:type="spellEnd"/>
          </w:p>
          <w:p w:rsidRPr="00403737" w:rsidR="00F653AC" w:rsidP="008F2540" w:rsidRDefault="00F653AC" w14:paraId="12C1BC86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xmlns:wp14="http://schemas.microsoft.com/office/word/2010/wordml" w:rsidRPr="00403737" w:rsidR="00E77819" w:rsidTr="19F885AF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19F885AF" w14:paraId="2F1298E0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B90484" w:rsidRDefault="00E77819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Pr="00534783" w:rsidR="000E0FB4" w:rsidP="000E0FB4" w:rsidRDefault="00E77819" w14:paraId="5C8D2706" wp14:textId="77777777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 w:rsidR="008F2540">
              <w:rPr>
                <w:sz w:val="22"/>
                <w:szCs w:val="22"/>
              </w:rPr>
              <w:t xml:space="preserve"> </w:t>
            </w:r>
            <w:r w:rsidRPr="000E0FB4" w:rsidR="000E0FB4">
              <w:rPr>
                <w:sz w:val="22"/>
                <w:szCs w:val="22"/>
              </w:rPr>
              <w:tab/>
            </w:r>
            <w:r w:rsidRPr="00454A14" w:rsidR="00F02E66">
              <w:t>Ismeri a hazai mentőellátás szervezetét, működését, az operatív mentőmunka szolgálati, műk</w:t>
            </w:r>
            <w:r w:rsidR="00F02E66">
              <w:t>ödési és magatartási szabályait</w:t>
            </w:r>
            <w:r w:rsidRPr="00534783" w:rsidR="000E0FB4">
              <w:t>.</w:t>
            </w:r>
          </w:p>
          <w:p w:rsidR="008F2540" w:rsidP="000E0FB4" w:rsidRDefault="000E0FB4" w14:paraId="752C3D30" wp14:textId="77777777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Pr="00534783">
              <w:tab/>
            </w:r>
            <w:r w:rsidRPr="00534783">
              <w:t xml:space="preserve">Ismeri a </w:t>
            </w:r>
            <w:r w:rsidR="0066000D">
              <w:t>mentésirányítás/szervezés</w:t>
            </w:r>
            <w:r w:rsidRPr="00534783">
              <w:t xml:space="preserve"> alapfogalmakat, a </w:t>
            </w:r>
            <w:r w:rsidR="0066000D">
              <w:t>korszerű</w:t>
            </w:r>
            <w:r w:rsidRPr="00534783">
              <w:t xml:space="preserve"> betegellátás jellemzőit, hazai viszonylatban az egészségügyi rendszerben előforduló főbb </w:t>
            </w:r>
            <w:r w:rsidR="0066000D">
              <w:t>mentésszervezés</w:t>
            </w:r>
            <w:r w:rsidRPr="00534783">
              <w:t xml:space="preserve"> </w:t>
            </w:r>
            <w:proofErr w:type="gramStart"/>
            <w:r w:rsidRPr="00534783">
              <w:t>problémákat</w:t>
            </w:r>
            <w:proofErr w:type="gramEnd"/>
            <w:r w:rsidRPr="00534783">
              <w:t xml:space="preserve"> és azok lehetséges megoldási lehetőségeit, alternatíváit, valamint a kliensek és az ellátást végzők kötelezettségeit</w:t>
            </w:r>
          </w:p>
          <w:p w:rsidRPr="00534783" w:rsidR="0066000D" w:rsidP="000E0FB4" w:rsidRDefault="0066000D" w14:paraId="373197AF" wp14:textId="77777777">
            <w:pPr>
              <w:pStyle w:val="NormlWeb"/>
              <w:ind w:left="380" w:hanging="380"/>
              <w:jc w:val="both"/>
            </w:pPr>
            <w:r>
              <w:t>-</w:t>
            </w:r>
            <w:r w:rsidRPr="00454A14">
              <w:t xml:space="preserve"> </w:t>
            </w:r>
            <w:r>
              <w:t xml:space="preserve">    </w:t>
            </w:r>
            <w:r w:rsidRPr="00454A14">
              <w:t>Ismeri a hazai egészségügy szervezeti felépítését és intézményrendszerét, ezen belül a mentőellátás és a sürgősségi betegellátás helyét, szerepét és kapcsolatrendszerét.</w:t>
            </w:r>
          </w:p>
          <w:p w:rsidRPr="00534783" w:rsidR="008F2540" w:rsidP="00B90484" w:rsidRDefault="008F2540" w14:paraId="65D319A0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 w:rsidR="000E0FB4">
              <w:tab/>
            </w:r>
            <w:r w:rsidR="0066000D">
              <w:t>Ismeri a hazai és nemzetközi</w:t>
            </w:r>
            <w:r w:rsidRPr="00534783" w:rsidR="009C7029">
              <w:t xml:space="preserve"> </w:t>
            </w:r>
            <w:r w:rsidR="0066000D">
              <w:t>mentésszervezés, mentésirányítás</w:t>
            </w:r>
            <w:r w:rsidRPr="00534783" w:rsidR="009C7029">
              <w:t xml:space="preserve"> szempontjából releváns ajánlásokat és protokollokat.</w:t>
            </w:r>
          </w:p>
          <w:p w:rsidRPr="00B241BC" w:rsidR="00E77819" w:rsidP="00B90484" w:rsidRDefault="00E77819" w14:paraId="6A05A80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E77819" w:rsidP="00B90484" w:rsidRDefault="00E77819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Pr="00534783" w:rsidR="002C56D5" w:rsidP="002C56D5" w:rsidRDefault="001F413E" w14:paraId="1A5C8A6E" wp14:textId="77777777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E0FB4" w:rsidR="000E0FB4">
              <w:rPr>
                <w:sz w:val="22"/>
                <w:szCs w:val="22"/>
              </w:rPr>
              <w:tab/>
            </w:r>
            <w:r w:rsidRPr="00454A14" w:rsidR="0066000D">
              <w:t xml:space="preserve">Képes tömeges balesetek és megbetegedések, illetve katasztrófa helyszínén a </w:t>
            </w:r>
            <w:proofErr w:type="gramStart"/>
            <w:r w:rsidRPr="00454A14" w:rsidR="0066000D">
              <w:t>kompetenciájába</w:t>
            </w:r>
            <w:proofErr w:type="gramEnd"/>
            <w:r w:rsidRPr="00454A14" w:rsidR="0066000D">
              <w:t xml:space="preserve"> tartozó mentő és szervezési feladatok ellátására.</w:t>
            </w:r>
          </w:p>
          <w:p w:rsidRPr="00534783" w:rsidR="001F413E" w:rsidP="001F413E" w:rsidRDefault="001F413E" w14:paraId="291B6414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 w:rsidR="000E0FB4">
              <w:tab/>
            </w:r>
            <w:r w:rsidRPr="00454A14" w:rsidR="0017059C">
              <w:t xml:space="preserve">Képes a </w:t>
            </w:r>
            <w:r w:rsidR="0017059C">
              <w:t>tömeges kárhely felszámolásának</w:t>
            </w:r>
            <w:r w:rsidRPr="00454A14" w:rsidR="0017059C">
              <w:t xml:space="preserve"> megkezdésére, a biztonságos betegellát</w:t>
            </w:r>
            <w:r w:rsidR="0017059C">
              <w:t xml:space="preserve">ási környezet megteremtésére, </w:t>
            </w:r>
            <w:r w:rsidRPr="00454A14" w:rsidR="0017059C">
              <w:t xml:space="preserve">és a beteg </w:t>
            </w:r>
            <w:proofErr w:type="gramStart"/>
            <w:r w:rsidRPr="00454A14" w:rsidR="0017059C">
              <w:t>definitív</w:t>
            </w:r>
            <w:proofErr w:type="gramEnd"/>
            <w:r w:rsidRPr="00454A14" w:rsidR="0017059C">
              <w:t xml:space="preserve"> ellátásának megszervezésére.</w:t>
            </w:r>
          </w:p>
          <w:p w:rsidRPr="00534783" w:rsidR="001F413E" w:rsidP="001F413E" w:rsidRDefault="001F413E" w14:paraId="177CCD21" wp14:textId="77777777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Pr="00534783" w:rsidR="000E0FB4">
              <w:t xml:space="preserve"> </w:t>
            </w:r>
            <w:r w:rsidRPr="00534783" w:rsidR="000E0FB4">
              <w:tab/>
            </w:r>
            <w:r w:rsidRPr="00534783" w:rsidR="000E0FB4"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Pr="00534783" w:rsidR="001F413E" w:rsidP="001F413E" w:rsidRDefault="001F413E" w14:paraId="036E2BB0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 w:rsidR="00FA6EA4">
              <w:tab/>
            </w:r>
            <w:r w:rsidRPr="00454A14" w:rsidR="00CB003A">
              <w:t xml:space="preserve">Képes a betegekkel kapcsolatos, szakmai protokollokban meghatározott </w:t>
            </w:r>
            <w:proofErr w:type="spellStart"/>
            <w:r w:rsidRPr="00454A14" w:rsidR="00CB003A">
              <w:t>triázs</w:t>
            </w:r>
            <w:proofErr w:type="spellEnd"/>
            <w:r w:rsidRPr="00454A14" w:rsidR="00CB003A">
              <w:t xml:space="preserve"> tevékenységre.</w:t>
            </w:r>
          </w:p>
          <w:p w:rsidR="00FA6EA4" w:rsidP="001F413E" w:rsidRDefault="00FA6EA4" w14:paraId="5A39BBE3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</w:p>
          <w:p w:rsidRPr="002C56D5" w:rsidR="00163E7D" w:rsidP="00B90484" w:rsidRDefault="00CB4D4D" w14:paraId="2B8399B2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lastRenderedPageBreak/>
              <w:t xml:space="preserve">- </w:t>
            </w:r>
            <w:r w:rsidR="00CB003A">
              <w:rPr>
                <w:b/>
                <w:sz w:val="22"/>
                <w:szCs w:val="22"/>
              </w:rPr>
              <w:t xml:space="preserve">    </w:t>
            </w:r>
            <w:r w:rsidRPr="002C56D5" w:rsidR="002C56D5">
              <w:t>Nyitott és fogékony a</w:t>
            </w:r>
            <w:r w:rsidR="00CB003A">
              <w:t xml:space="preserve">z oktatott tárgyak </w:t>
            </w:r>
            <w:r w:rsidRPr="002C56D5" w:rsidR="00163E7D">
              <w:t>tudományosan bizonyított szakmai alapjainak megismerésére és alkalmazására.</w:t>
            </w:r>
          </w:p>
          <w:p w:rsidRPr="002C56D5" w:rsidR="00163E7D" w:rsidP="00B90484" w:rsidRDefault="00163E7D" w14:paraId="501784B2" wp14:textId="77777777">
            <w:pPr>
              <w:pStyle w:val="NormlWeb"/>
              <w:ind w:left="380" w:hanging="380"/>
              <w:jc w:val="both"/>
            </w:pPr>
            <w:r w:rsidRPr="002C56D5">
              <w:t>-    </w:t>
            </w:r>
            <w:r w:rsidR="00CB003A">
              <w:t xml:space="preserve"> </w:t>
            </w:r>
            <w:r w:rsidRPr="00CB003A" w:rsidR="00CB003A">
              <w:t xml:space="preserve">Képes betegellátó </w:t>
            </w:r>
            <w:proofErr w:type="gramStart"/>
            <w:r w:rsidRPr="00CB003A" w:rsidR="00CB003A">
              <w:t>team</w:t>
            </w:r>
            <w:proofErr w:type="gramEnd"/>
            <w:r w:rsidRPr="00CB003A" w:rsidR="00CB003A">
              <w:t xml:space="preserve"> munkájának a megszervezésére, irányítására, értékelésére és korrekciójára.</w:t>
            </w:r>
          </w:p>
          <w:p w:rsidR="00163E7D" w:rsidP="00B90484" w:rsidRDefault="00163E7D" w14:paraId="568FF5F3" wp14:textId="77777777">
            <w:pPr>
              <w:pStyle w:val="NormlWeb"/>
              <w:ind w:left="380" w:hanging="380"/>
              <w:jc w:val="both"/>
            </w:pPr>
            <w:r w:rsidRPr="002C56D5">
              <w:t>-    </w:t>
            </w:r>
            <w:r w:rsidR="00CB003A">
              <w:t xml:space="preserve"> </w:t>
            </w:r>
            <w:r w:rsidRPr="00CB003A" w:rsidR="00CB003A">
              <w:t>Felméri, és felismeri a környezeti veszélyforrásokat, azoktól a beteget, önmagát és a betegellátó-team tagjait védi, az őt érő hatásokat minimalizálja.</w:t>
            </w:r>
          </w:p>
          <w:p w:rsidRPr="00FA6EA4" w:rsidR="003D737E" w:rsidP="003D737E" w:rsidRDefault="003D737E" w14:paraId="1F23F272" wp14:textId="7777777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3D737E" w:rsidP="00B90484" w:rsidRDefault="003D737E" w14:paraId="40988DB9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Kezdeményezi és elfogadja a csapatszellemű betegellátást, felismeri a </w:t>
            </w:r>
            <w:proofErr w:type="gramStart"/>
            <w:r w:rsidRPr="003D737E">
              <w:t>kollektív</w:t>
            </w:r>
            <w:proofErr w:type="gramEnd"/>
            <w:r w:rsidRPr="003D737E">
              <w:t xml:space="preserve"> munka értékeit, igényli a döntései kritikáját, törekszik a konzultatív döntéshozatalra.</w:t>
            </w:r>
          </w:p>
          <w:p w:rsidR="003D737E" w:rsidP="00B90484" w:rsidRDefault="003D737E" w14:paraId="747005B2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Nyitott a szakmai </w:t>
            </w:r>
            <w:proofErr w:type="gramStart"/>
            <w:r w:rsidRPr="003D737E">
              <w:t>konzultációra</w:t>
            </w:r>
            <w:proofErr w:type="gramEnd"/>
            <w:r w:rsidRPr="003D737E">
              <w:t>, a betegellátókkal kommunikációt kezdeményez, annak eredményét értékeli és nyitott az alternatíva befogadására.</w:t>
            </w:r>
          </w:p>
          <w:p w:rsidRPr="002C56D5" w:rsidR="003D737E" w:rsidP="00B90484" w:rsidRDefault="003D737E" w14:paraId="0C701493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Elkötelezett a minőségi betegellátó tevékenység iránt, saját és </w:t>
            </w:r>
            <w:proofErr w:type="gramStart"/>
            <w:r w:rsidRPr="003D737E">
              <w:t>kollégái</w:t>
            </w:r>
            <w:proofErr w:type="gramEnd"/>
            <w:r w:rsidRPr="003D737E">
              <w:t xml:space="preserve"> munkáját indokolt esetben, az ennek történő megfelelés érdekében kritikával illeti.</w:t>
            </w:r>
          </w:p>
          <w:p w:rsidRPr="00B241BC" w:rsidR="00CB4D4D" w:rsidP="00B90484" w:rsidRDefault="00CB4D4D" w14:paraId="41C8F396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1938CE" w:rsidP="003D737E" w:rsidRDefault="001938CE" w14:paraId="69D161DB" wp14:textId="7777777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3D737E" w:rsidP="002C56D5" w:rsidRDefault="00163E7D" w14:paraId="1BFE8DA7" wp14:textId="77777777">
            <w:pPr>
              <w:pStyle w:val="NormlWeb"/>
              <w:ind w:left="380" w:hanging="380"/>
              <w:jc w:val="both"/>
            </w:pPr>
            <w:r w:rsidRPr="002C56D5">
              <w:t xml:space="preserve">- </w:t>
            </w:r>
            <w:r w:rsidR="00534783">
              <w:t xml:space="preserve">   </w:t>
            </w:r>
            <w:r w:rsidRPr="002C56D5">
              <w:t>A beteg életét közvetve vagy közvetlen</w:t>
            </w:r>
            <w:r w:rsidR="00F653AC">
              <w:t>ül veszélyeztető kórfolyamatok</w:t>
            </w:r>
            <w:r w:rsidRPr="002C56D5" w:rsidR="002C56D5">
              <w:t xml:space="preserve"> esetén</w:t>
            </w:r>
            <w:r w:rsidRPr="002C56D5">
              <w:t xml:space="preserve">, azok felismerését követően önállóan </w:t>
            </w:r>
            <w:r w:rsidRPr="002C56D5" w:rsidR="002C56D5">
              <w:t xml:space="preserve">meghozza a döntést az ellátás során alkalmazandó eszköz, módszer kiválasztására vonatkozóan, majd ezeket – szükség esetén segítők bevonásával – </w:t>
            </w:r>
            <w:r w:rsidR="002768A0">
              <w:t>rendeltetés</w:t>
            </w:r>
            <w:r w:rsidR="002C56D5">
              <w:t xml:space="preserve">szerűen </w:t>
            </w:r>
            <w:r w:rsidRPr="002C56D5" w:rsidR="002C56D5">
              <w:t>alkalmazza is</w:t>
            </w:r>
            <w:r w:rsidRPr="002C56D5">
              <w:t>,</w:t>
            </w:r>
            <w:r w:rsidR="002C56D5">
              <w:t xml:space="preserve"> a beteg/sérült életkori sajátosságainak</w:t>
            </w:r>
            <w:r w:rsidRPr="002C56D5">
              <w:t xml:space="preserve"> figyelembevételével.</w:t>
            </w:r>
          </w:p>
          <w:p w:rsidR="001938CE" w:rsidP="002C56D5" w:rsidRDefault="00DF6F59" w14:paraId="25F41EC5" wp14:textId="77777777">
            <w:pPr>
              <w:pStyle w:val="NormlWeb"/>
              <w:ind w:left="380" w:hanging="380"/>
              <w:jc w:val="both"/>
            </w:pPr>
            <w:r>
              <w:t xml:space="preserve"> </w:t>
            </w:r>
            <w:r w:rsidRPr="00DF6F59">
              <w:t>-</w:t>
            </w:r>
            <w:r w:rsidRPr="00DF6F59">
              <w:tab/>
            </w:r>
            <w:r w:rsidRPr="00DF6F59">
              <w:t xml:space="preserve">Felelős a betegellátó </w:t>
            </w:r>
            <w:proofErr w:type="gramStart"/>
            <w:r w:rsidRPr="00DF6F59">
              <w:t>team</w:t>
            </w:r>
            <w:proofErr w:type="gramEnd"/>
            <w:r w:rsidRPr="00DF6F59">
              <w:t xml:space="preserve"> testi épségének megőrzéséért.</w:t>
            </w:r>
          </w:p>
          <w:p w:rsidRPr="002C56D5" w:rsidR="003D737E" w:rsidP="002C56D5" w:rsidRDefault="003D737E" w14:paraId="5A90A5F2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Az </w:t>
            </w:r>
            <w:proofErr w:type="spellStart"/>
            <w:r w:rsidRPr="003D737E">
              <w:t>intra</w:t>
            </w:r>
            <w:proofErr w:type="spellEnd"/>
            <w:r w:rsidRPr="003D737E">
              <w:t xml:space="preserve">- és </w:t>
            </w:r>
            <w:proofErr w:type="spellStart"/>
            <w:r w:rsidRPr="003D737E">
              <w:t>interhospitális</w:t>
            </w:r>
            <w:proofErr w:type="spellEnd"/>
            <w:r w:rsidRPr="003D737E">
              <w:t xml:space="preserve"> transzportot </w:t>
            </w:r>
            <w:proofErr w:type="gramStart"/>
            <w:r w:rsidRPr="003D737E">
              <w:t>koordinálja</w:t>
            </w:r>
            <w:proofErr w:type="gramEnd"/>
            <w:r w:rsidRPr="003D737E">
              <w:t xml:space="preserve">, </w:t>
            </w:r>
            <w:proofErr w:type="spellStart"/>
            <w:r w:rsidRPr="003D737E">
              <w:t>véghezviszi</w:t>
            </w:r>
            <w:proofErr w:type="spellEnd"/>
            <w:r w:rsidRPr="003D737E">
              <w:t>.</w:t>
            </w:r>
          </w:p>
        </w:tc>
      </w:tr>
    </w:tbl>
    <w:p xmlns:wp14="http://schemas.microsoft.com/office/word/2010/wordml" w:rsidRPr="00403737" w:rsidR="00E77819" w:rsidP="00E77819" w:rsidRDefault="00E77819" w14:paraId="72A3D3EC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F653AC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14921C75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3A7301" w:rsidP="00AC6CB2" w:rsidRDefault="003D737E" w14:paraId="5E03699F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Liktor</w:t>
            </w:r>
            <w:proofErr w:type="spellEnd"/>
            <w:r>
              <w:rPr>
                <w:sz w:val="22"/>
                <w:szCs w:val="22"/>
              </w:rPr>
              <w:t xml:space="preserve"> Lajos, szakoktató</w:t>
            </w:r>
          </w:p>
        </w:tc>
      </w:tr>
    </w:tbl>
    <w:p xmlns:wp14="http://schemas.microsoft.com/office/word/2010/wordml" w:rsidR="00E073D5" w:rsidRDefault="007E01E5" w14:paraId="0D0B940D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0E27B00A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E01E5" w:rsidP="00E77819" w:rsidRDefault="007E01E5" w14:paraId="60061E4C" wp14:textId="77777777">
      <w:r>
        <w:separator/>
      </w:r>
    </w:p>
  </w:endnote>
  <w:endnote w:type="continuationSeparator" w:id="0">
    <w:p xmlns:wp14="http://schemas.microsoft.com/office/word/2010/wordml" w:rsidR="007E01E5" w:rsidP="00E77819" w:rsidRDefault="007E01E5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E01E5" w:rsidP="00E77819" w:rsidRDefault="007E01E5" w14:paraId="4B94D5A5" wp14:textId="77777777">
      <w:r>
        <w:separator/>
      </w:r>
    </w:p>
  </w:footnote>
  <w:footnote w:type="continuationSeparator" w:id="0">
    <w:p xmlns:wp14="http://schemas.microsoft.com/office/word/2010/wordml" w:rsidR="007E01E5" w:rsidP="00E77819" w:rsidRDefault="007E01E5" w14:paraId="3DEEC669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3656B9AB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5575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2" w15:restartNumberingAfterBreak="0">
    <w:nsid w:val="5D6E10D4"/>
    <w:multiLevelType w:val="hybridMultilevel"/>
    <w:tmpl w:val="18EEC036"/>
    <w:lvl w:ilvl="0" w:tplc="4BBA78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312F2"/>
    <w:rsid w:val="00091C9A"/>
    <w:rsid w:val="0009237B"/>
    <w:rsid w:val="000960B8"/>
    <w:rsid w:val="000B1A2F"/>
    <w:rsid w:val="000E0FB4"/>
    <w:rsid w:val="000F76A6"/>
    <w:rsid w:val="00121BEF"/>
    <w:rsid w:val="00147927"/>
    <w:rsid w:val="00163E7D"/>
    <w:rsid w:val="0017059C"/>
    <w:rsid w:val="00180838"/>
    <w:rsid w:val="001938CE"/>
    <w:rsid w:val="001F0D25"/>
    <w:rsid w:val="001F413E"/>
    <w:rsid w:val="0024322F"/>
    <w:rsid w:val="00265E3D"/>
    <w:rsid w:val="002768A0"/>
    <w:rsid w:val="002A3C45"/>
    <w:rsid w:val="002C56D5"/>
    <w:rsid w:val="002E1213"/>
    <w:rsid w:val="003819B1"/>
    <w:rsid w:val="003A7301"/>
    <w:rsid w:val="003B43DB"/>
    <w:rsid w:val="003C16D8"/>
    <w:rsid w:val="003D147F"/>
    <w:rsid w:val="003D737E"/>
    <w:rsid w:val="0042593C"/>
    <w:rsid w:val="004568D1"/>
    <w:rsid w:val="0049181B"/>
    <w:rsid w:val="00504288"/>
    <w:rsid w:val="00534783"/>
    <w:rsid w:val="00626AFE"/>
    <w:rsid w:val="0066000D"/>
    <w:rsid w:val="006A7210"/>
    <w:rsid w:val="006E32F4"/>
    <w:rsid w:val="007A2609"/>
    <w:rsid w:val="007E01E5"/>
    <w:rsid w:val="007E328B"/>
    <w:rsid w:val="007E720A"/>
    <w:rsid w:val="00830E12"/>
    <w:rsid w:val="00856C1C"/>
    <w:rsid w:val="00885780"/>
    <w:rsid w:val="00896192"/>
    <w:rsid w:val="008F2540"/>
    <w:rsid w:val="0092547D"/>
    <w:rsid w:val="00925AC6"/>
    <w:rsid w:val="009500EA"/>
    <w:rsid w:val="009745C8"/>
    <w:rsid w:val="009C7029"/>
    <w:rsid w:val="00A0271D"/>
    <w:rsid w:val="00A33DCA"/>
    <w:rsid w:val="00AB685C"/>
    <w:rsid w:val="00AF27FE"/>
    <w:rsid w:val="00B02395"/>
    <w:rsid w:val="00B241BC"/>
    <w:rsid w:val="00B275CE"/>
    <w:rsid w:val="00B63691"/>
    <w:rsid w:val="00B722DF"/>
    <w:rsid w:val="00B90484"/>
    <w:rsid w:val="00BC1561"/>
    <w:rsid w:val="00BC67F2"/>
    <w:rsid w:val="00C96894"/>
    <w:rsid w:val="00CB003A"/>
    <w:rsid w:val="00CB4D4D"/>
    <w:rsid w:val="00CF0D0C"/>
    <w:rsid w:val="00D31E3A"/>
    <w:rsid w:val="00D87527"/>
    <w:rsid w:val="00D95AA2"/>
    <w:rsid w:val="00DA5380"/>
    <w:rsid w:val="00DC42F4"/>
    <w:rsid w:val="00DD45F1"/>
    <w:rsid w:val="00DF635A"/>
    <w:rsid w:val="00DF6F59"/>
    <w:rsid w:val="00E441E5"/>
    <w:rsid w:val="00E570FE"/>
    <w:rsid w:val="00E77819"/>
    <w:rsid w:val="00E86D48"/>
    <w:rsid w:val="00EA28B3"/>
    <w:rsid w:val="00EB3B6B"/>
    <w:rsid w:val="00EB5922"/>
    <w:rsid w:val="00ED7793"/>
    <w:rsid w:val="00F00DF4"/>
    <w:rsid w:val="00F02E66"/>
    <w:rsid w:val="00F653AC"/>
    <w:rsid w:val="00F74603"/>
    <w:rsid w:val="00FA6EA4"/>
    <w:rsid w:val="00FF4700"/>
    <w:rsid w:val="19F8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8A7"/>
  <w15:docId w15:val="{BE922817-4229-4852-996F-6E026C4EF2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zvegtrzs">
    <w:name w:val="Body Text"/>
    <w:basedOn w:val="Norml"/>
    <w:link w:val="SzvegtrzsChar"/>
    <w:rsid w:val="00E570FE"/>
    <w:rPr>
      <w:b/>
      <w:bCs/>
      <w:sz w:val="24"/>
      <w:szCs w:val="24"/>
    </w:rPr>
  </w:style>
  <w:style w:type="character" w:styleId="SzvegtrzsChar" w:customStyle="1">
    <w:name w:val="Szövegtörzs Char"/>
    <w:basedOn w:val="Bekezdsalapbettpusa"/>
    <w:link w:val="Szvegtrzs"/>
    <w:rsid w:val="00E570FE"/>
    <w:rPr>
      <w:rFonts w:ascii="Times New Roman" w:hAnsi="Times New Roman" w:eastAsia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48838-B62F-449D-A88C-826232FE903B}"/>
</file>

<file path=customXml/itemProps2.xml><?xml version="1.0" encoding="utf-8"?>
<ds:datastoreItem xmlns:ds="http://schemas.openxmlformats.org/officeDocument/2006/customXml" ds:itemID="{9C98B5FE-53E6-4742-BA28-CA284704B2F2}"/>
</file>

<file path=customXml/itemProps3.xml><?xml version="1.0" encoding="utf-8"?>
<ds:datastoreItem xmlns:ds="http://schemas.openxmlformats.org/officeDocument/2006/customXml" ds:itemID="{742175F3-210C-43B6-9EAF-455B022238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Schiszler Bence István</cp:lastModifiedBy>
  <cp:revision>10</cp:revision>
  <cp:lastPrinted>2017-12-15T06:47:00Z</cp:lastPrinted>
  <dcterms:created xsi:type="dcterms:W3CDTF">2019-02-15T12:26:00Z</dcterms:created>
  <dcterms:modified xsi:type="dcterms:W3CDTF">2019-02-21T10:23:25Z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14</vt:lpwstr>
  </property>
  <property fmtid="{D5CDD505-2E9C-101B-9397-08002B2CF9AE}" pid="4" name="Order">
    <vt:r8>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